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51.jpeg" ContentType="image/jpeg"/>
  <Override PartName="/word/media/image54.jpeg" ContentType="image/jpeg"/>
  <Override PartName="/word/media/image133.jpeg" ContentType="image/jpeg"/>
  <Override PartName="/word/media/image145.jpeg" ContentType="image/jpeg"/>
  <Override PartName="/word/media/image152.jpeg" ContentType="image/jpeg"/>
  <Override PartName="/word/media/image55.jpeg" ContentType="image/jpeg"/>
  <Override PartName="/word/media/image134.jpeg" ContentType="image/jpeg"/>
  <Override PartName="/word/media/image146.jpeg" ContentType="image/jpeg"/>
  <Override PartName="/word/media/image153.jpeg" ContentType="image/jpeg"/>
  <Override PartName="/word/media/image56.jpeg" ContentType="image/jpeg"/>
  <Override PartName="/word/media/image135.jpeg" ContentType="image/jpeg"/>
  <Override PartName="/word/media/image128.jpeg" ContentType="image/jpeg"/>
  <Override PartName="/word/media/image154.jpeg" ContentType="image/jpeg"/>
  <Override PartName="/word/media/image57.jpeg" ContentType="image/jpeg"/>
  <Override PartName="/word/media/image136.jpeg" ContentType="image/jpeg"/>
  <Override PartName="/word/media/image129.jpeg" ContentType="image/jpeg"/>
  <Override PartName="/word/media/image155.jpeg" ContentType="image/jpeg"/>
  <Override PartName="/word/media/image58.jpeg" ContentType="image/jpeg"/>
  <Override PartName="/word/media/image137.jpeg" ContentType="image/jpeg"/>
  <Override PartName="/word/media/image160.jpeg" ContentType="image/jpeg"/>
  <Override PartName="/word/media/image15.jpeg" ContentType="image/jpeg"/>
  <Override PartName="/word/media/image156.jpeg" ContentType="image/jpeg"/>
  <Override PartName="/word/media/image60.jpeg" ContentType="image/jpeg"/>
  <Override PartName="/word/media/image77.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158.jpeg" ContentType="image/jpeg"/>
  <Override PartName="/word/media/image62.jpeg" ContentType="image/jpeg"/>
  <Override PartName="/word/media/image79.jpeg" ContentType="image/jpeg"/>
  <Override PartName="/word/media/image150.jpeg" ContentType="image/jpeg"/>
  <Override PartName="/word/media/image144.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47.jpeg" ContentType="image/jpeg"/>
  <Override PartName="/word/media/image46.jpeg" ContentType="image/jpeg"/>
  <Override PartName="/word/media/image164.jpeg" ContentType="image/jpeg"/>
  <Override PartName="/word/media/image45.jpeg" ContentType="image/jpeg"/>
  <Override PartName="/word/media/image163.jpeg" ContentType="image/jpeg"/>
  <Override PartName="/word/media/image44.jpeg" ContentType="image/jpeg"/>
  <Override PartName="/word/media/image162.jpeg" ContentType="image/jpeg"/>
  <Override PartName="/word/media/image43.jpeg" ContentType="image/jpeg"/>
  <Override PartName="/word/media/image50.jpeg" ContentType="image/jpeg"/>
  <Override PartName="/word/media/image139.jpeg" ContentType="image/jpeg"/>
  <Override PartName="/word/media/image161.jpeg" ContentType="image/jpeg"/>
  <Override PartName="/word/media/image16.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3.jpeg" ContentType="image/jpeg"/>
  <Override PartName="/word/media/image6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0" w:after="0"/>
        <w:jc w:val="left"/>
        <w:rPr>
          <w:rFonts w:ascii="Arial;sans-serif" w:hAnsi="Arial;sans-serif"/>
          <w:b/>
          <w:color w:val="131E29"/>
          <w:sz w:val="20"/>
        </w:rPr>
      </w:pPr>
      <w:r>
        <w:rPr>
          <w:rFonts w:ascii="Arial;sans-serif" w:hAnsi="Arial;sans-serif"/>
          <w:b/>
          <w:color w:val="131E29"/>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QUARTERLY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Quarterly Period ended September 30, 2026</w:t>
      </w:r>
    </w:p>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center"/>
      </w:pPr>
      <w:r>
        <w:drawing>
          <wp:inline distT="0" distB="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6009" w:type="dxa"/>
        <w:jc w:val="center"/>
        <w:tblInd w:w="0" w:type="dxa"/>
        <w:tblLayout w:type="fixed"/>
        <w:tblCellMar>
          <w:top w:w="28" w:type="dxa"/>
          <w:left w:w="28" w:type="dxa"/>
          <w:bottom w:w="28" w:type="dxa"/>
          <w:right w:w="28" w:type="dxa"/>
        </w:tblCellMar>
      </w:tblPr>
      <w:tblGrid>
        <w:gridCol w:w="374"/>
        <w:gridCol w:w="329"/>
        <w:gridCol w:w="329"/>
        <w:gridCol w:w="329"/>
        <w:gridCol w:w="329"/>
        <w:gridCol w:w="329"/>
        <w:gridCol w:w="330"/>
        <w:gridCol w:w="330"/>
        <w:gridCol w:w="349"/>
        <w:gridCol w:w="109"/>
        <w:gridCol w:w="109"/>
        <w:gridCol w:w="109"/>
        <w:gridCol w:w="775"/>
        <w:gridCol w:w="775"/>
        <w:gridCol w:w="1104"/>
      </w:tblGrid>
      <w:t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c>
          <w:tcPr>
            <w:tcW w:w="302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87-1041305</w:t>
            </w:r>
          </w:p>
        </w:tc>
      </w:tr>
      <w:tr>
        <w:tc>
          <w:tcPr>
            <w:tcW w:w="30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1930 W. Rio Salado Pkwy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color w:val="131E29"/>
                <w:sz w:val="20"/>
              </w:rPr>
            </w:pPr>
            <w:r>
              <w:rPr>
                <w:rFonts w:ascii="Arial;sans-serif" w:hAnsi="Arial;sans-serif"/>
                <w:b/>
                <w:color w:val="131E29"/>
                <w:sz w:val="20"/>
              </w:rPr>
              <w:t>Tempe,</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180"/>
              <w:jc w:val="center"/>
            </w:p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85281</w:t>
            </w:r>
          </w:p>
        </w:tc>
      </w:tr>
      <w:tr>
        <w:tc>
          <w:tcPr>
            <w:tcW w:w="302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(877) 899-2767</w:t>
      </w:r>
    </w:p>
    <w:p>
      <w:pPr>
        <w:pStyle w:val="TextBody"/>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180"/>
        <w:jc w:val="center"/>
      </w:pPr>
      <w:r/>
    </w:p>
    <w:p>
      <w:pPr>
        <w:pStyle w:val="TextBody"/>
        <w:bidi w:val="0"/>
        <w:spacing w:before="0" w:after="0"/>
        <w:jc w:val="center"/>
      </w:pPr>
      <w:r/>
    </w:p>
    <w:p>
      <w:pPr>
        <w:pStyle w:val="TextBody"/>
        <w:bidi w:val="0"/>
        <w:spacing w:before="0" w:after="0"/>
        <w:jc w:val="left"/>
      </w:pPr>
      <w:r/>
    </w:p>
    <w:p>
      <w:pPr>
        <w:pStyle w:val="TextBody"/>
        <w:bidi w:val="0"/>
        <w:spacing w:lineRule="auto" w:line="288" w:before="0" w:after="180"/>
        <w:jc w:val="left"/>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Layout w:type="fixed"/>
        <w:tblCellMar>
          <w:top w:w="28" w:type="dxa"/>
          <w:left w:w="28" w:type="dxa"/>
          <w:bottom w:w="28" w:type="dxa"/>
          <w:right w:w="28" w:type="dxa"/>
        </w:tblCellMar>
      </w:tblPr>
      <w:tblGrid>
        <w:gridCol w:w="954"/>
        <w:gridCol w:w="841"/>
        <w:gridCol w:w="845"/>
        <w:gridCol w:w="534"/>
        <w:gridCol w:w="534"/>
        <w:gridCol w:w="536"/>
        <w:gridCol w:w="1128"/>
        <w:gridCol w:w="1128"/>
        <w:gridCol w:w="1598"/>
      </w:tblGrid>
      <w:t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c>
          <w:tcPr>
            <w:tcW w:w="2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Name of Exchange on which Registered</w:t>
            </w:r>
          </w:p>
        </w:tc>
      </w:tr>
      <w:tr>
        <w:tc>
          <w:tcPr>
            <w:tcW w:w="2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Class A Common Stock,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par value $0.00001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bidi w:val="0"/>
        <w:spacing w:before="0" w:after="0"/>
        <w:jc w:val="center"/>
      </w:pPr>
      <w:r/>
    </w:p>
    <w:p>
      <w:pPr>
        <w:pStyle w:val="TextBody"/>
        <w:bidi w:val="0"/>
        <w:spacing w:lineRule="auto" w:line="288" w:before="0" w:after="180"/>
        <w:jc w:val="both"/>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c>
          <w:tcPr>
            <w:tcW w:w="20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bl>
    <w:p>
      <w:pPr>
        <w:pStyle w:val="TextBody"/>
        <w:bidi w:val="0"/>
        <w:spacing w:lineRule="auto" w:line="288" w:before="0" w:after="180"/>
        <w:jc w:val="both"/>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31E29"/>
          <w:sz w:val="20"/>
        </w:rPr>
        <w:t>o</w:t>
      </w:r>
    </w:p>
    <w:p>
      <w:pPr>
        <w:pStyle w:val="TextBody"/>
        <w:bidi w:val="0"/>
        <w:spacing w:lineRule="auto" w:line="288" w:before="0" w:after="180"/>
        <w:jc w:val="both"/>
      </w:pPr>
      <w:r>
        <w:rPr>
          <w:rFonts w:ascii="Arial;sans-serif" w:hAnsi="Arial;sans-serif"/>
          <w:b w:val="false"/>
          <w:color w:val="131E29"/>
          <w:sz w:val="20"/>
        </w:rPr>
        <w:t>Indicate by check mark whether the registrant is a shell company (as defined in Rule 12b-2 of the Act). Yes  </w:t>
      </w:r>
      <w:r>
        <w:rPr>
          <w:rFonts w:ascii="Wingdings;sans-serif" w:hAnsi="Wingdings;sans-serif"/>
          <w:b w:val="false"/>
          <w:color w:val="131E29"/>
          <w:sz w:val="20"/>
        </w:rPr>
        <w:t>o</w:t>
      </w:r>
      <w:r>
        <w:rPr>
          <w:color w:val="131E29"/>
        </w:rPr>
        <w:t>  </w:t>
      </w:r>
      <w:r>
        <w:rPr>
          <w:rFonts w:ascii="Arial;sans-serif" w:hAnsi="Arial;sans-serif"/>
          <w:b w:val="false"/>
          <w:color w:val="131E29"/>
          <w:sz w:val="20"/>
        </w:rPr>
        <w:t>No  </w:t>
      </w:r>
      <w:r>
        <w:rPr>
          <w:rFonts w:ascii="Wingdings;sans-serif" w:hAnsi="Wingdings;sans-serif"/>
          <w:b w:val="false"/>
          <w:color w:val="131E29"/>
          <w:sz w:val="20"/>
        </w:rPr>
        <w:t>x</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As of November 1, 2026, the registrant’s outstanding shares of common stock were as follows:</w:t>
      </w:r>
    </w:p>
    <w:p>
      <w:pPr>
        <w:pStyle w:val="TextBody"/>
        <w:bidi w:val="0"/>
        <w:spacing w:before="0" w:after="0"/>
        <w:jc w:val="center"/>
      </w:pPr>
      <w:r/>
    </w:p>
    <w:tbl>
      <w:tblPr>
        <w:tblW w:w="3545" w:type="dxa"/>
        <w:jc w:val="center"/>
        <w:tblInd w:w="0" w:type="dxa"/>
        <w:tblLayout w:type="fixed"/>
        <w:tblCellMar>
          <w:top w:w="28" w:type="dxa"/>
          <w:left w:w="28" w:type="dxa"/>
          <w:bottom w:w="28" w:type="dxa"/>
          <w:right w:w="28" w:type="dxa"/>
        </w:tblCellMar>
      </w:tblPr>
      <w:tblGrid>
        <w:gridCol w:w="781"/>
        <w:gridCol w:w="687"/>
        <w:gridCol w:w="692"/>
        <w:gridCol w:w="615"/>
        <w:gridCol w:w="616"/>
        <w:gridCol w:w="154"/>
      </w:tblGrid>
      <w:t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Class A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137,950,644 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Class B common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35,177,924 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Class C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1,562,994 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0"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pPr>
                      <w:r/>
                    </w:p>
                  </w:txbxContent>
                </v:textbox>
                <w10:wrap type="none"/>
              </v:rect>
            </w:pict>
          </mc:Fallback>
        </mc:AlternateContent>
      </w:r>
    </w:p>
    <w:p>
      <w:pPr>
        <w:pStyle w:val="TextBody"/>
        <w:bidi w:val="0"/>
        <w:spacing w:before="0" w:after="180"/>
        <w:jc w:val="left"/>
      </w:p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60"/>
        <w:jc w:val="center"/>
        <w:rPr>
          <w:rFonts w:ascii="Arial;sans-serif" w:hAnsi="Arial;sans-serif"/>
          <w:b w:val="false"/>
          <w:color w:val="131E29"/>
          <w:sz w:val="20"/>
        </w:rPr>
      </w:pPr>
      <w:r>
        <w:rPr>
          <w:rFonts w:ascii="Arial;sans-serif" w:hAnsi="Arial;sans-serif"/>
          <w:b w:val="false"/>
          <w:color w:val="131E29"/>
          <w:sz w:val="20"/>
        </w:rPr>
        <w:t>QUARTERLY REPORT ON FORM 10-Q</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TABLE OF CONTENTS</w:t>
      </w:r>
    </w:p>
    <w:tbl>
      <w:tblPr>
        <w:tblW w:w="7898" w:type="dxa"/>
        <w:jc w:val="left"/>
        <w:tblInd w:w="0" w:type="dxa"/>
        <w:tblLayout w:type="fixed"/>
        <w:tblCellMar>
          <w:top w:w="28" w:type="dxa"/>
          <w:left w:w="28" w:type="dxa"/>
          <w:bottom w:w="28" w:type="dxa"/>
          <w:right w:w="28" w:type="dxa"/>
        </w:tblCellMar>
      </w:tblPr>
      <w:tblGrid>
        <w:gridCol w:w="483"/>
        <w:gridCol w:w="422"/>
        <w:gridCol w:w="422"/>
        <w:gridCol w:w="1956"/>
        <w:gridCol w:w="1956"/>
        <w:gridCol w:w="2043"/>
        <w:gridCol w:w="180"/>
        <w:gridCol w:w="180"/>
        <w:gridCol w:w="256"/>
      </w:tblGrid>
      <w:tr>
        <w:tc>
          <w:tcPr>
            <w:tcW w:w="4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2" w:type="dxa"/>
            <w:gridSpan w:val="6"/>
            <w:tcBorders>
              <w:bottom w:val="single" w:sz="8" w:space="0" w:color="D2DCE5"/>
            </w:tcBorders>
            <w:tcMar>
              <w:top w:w="0" w:type="dxa"/>
              <w:left w:w="0" w:type="dxa"/>
              <w:bottom w:w="30" w:type="dxa"/>
              <w:right w:w="0" w:type="dxa"/>
            </w:tcMar>
            <w:vAlign w:val="center"/>
          </w:tcPr>
          <w:p>
            <w:pPr>
              <w:pStyle w:val="TableContents"/>
              <w:bidi w:val="0"/>
              <w:spacing w:lineRule="auto" w:line="288" w:before="0" w:after="0"/>
              <w:jc w:val="left"/>
            </w:pPr>
            <w:hyperlink w:anchor="i14cd05f6fb404a99b00a75d57d7c96da_22">
              <w:r>
                <w:rPr>
                  <w:rStyle w:val="InternetLink"/>
                  <w:rFonts w:ascii="Arial;sans-serif" w:hAnsi="Arial;sans-serif"/>
                  <w:b w:val="false"/>
                  <w:strike w:val="false"/>
                  <w:dstrike w:val="false"/>
                  <w:color w:val="131E29"/>
                  <w:sz w:val="20"/>
                  <w:u w:val="none"/>
                  <w:effect w:val="none"/>
                </w:rPr>
                <w:t>Glossary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22">
              <w:r>
                <w:rPr>
                  <w:rStyle w:val="InternetLink"/>
                  <w:rFonts w:ascii="Arial;sans-serif" w:hAnsi="Arial;sans-serif"/>
                  <w:b w:val="false"/>
                  <w:strike w:val="false"/>
                  <w:dstrike w:val="false"/>
                  <w:color w:val="131E29"/>
                  <w:sz w:val="20"/>
                  <w:u w:val="none"/>
                  <w:effect w:val="none"/>
                </w:rPr>
                <w:t>1</w:t>
              </w:r>
            </w:hyperlink>
          </w:p>
        </w:tc>
      </w:tr>
      <w:tr>
        <w:tc>
          <w:tcPr>
            <w:tcW w:w="7282" w:type="dxa"/>
            <w:gridSpan w:val="6"/>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28">
              <w:r>
                <w:rPr>
                  <w:rStyle w:val="InternetLink"/>
                  <w:rFonts w:ascii="Arial;sans-serif" w:hAnsi="Arial;sans-serif"/>
                  <w:b w:val="false"/>
                  <w:strike w:val="false"/>
                  <w:dstrike w:val="false"/>
                  <w:color w:val="131E29"/>
                  <w:sz w:val="20"/>
                  <w:u w:val="none"/>
                  <w:effect w:val="none"/>
                </w:rPr>
                <w:t>Forward-Looking Statements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28">
              <w:r>
                <w:rPr>
                  <w:rStyle w:val="InternetLink"/>
                  <w:rFonts w:ascii="Arial;sans-serif" w:hAnsi="Arial;sans-serif"/>
                  <w:b w:val="false"/>
                  <w:strike w:val="false"/>
                  <w:dstrike w:val="false"/>
                  <w:color w:val="131E29"/>
                  <w:sz w:val="20"/>
                  <w:u w:val="none"/>
                  <w:effect w:val="none"/>
                </w:rPr>
                <w:t>2</w:t>
              </w:r>
            </w:hyperlink>
          </w:p>
        </w:tc>
      </w:tr>
      <w:t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34">
              <w:r>
                <w:rPr>
                  <w:rStyle w:val="InternetLink"/>
                  <w:rFonts w:ascii="Arial;sans-serif" w:hAnsi="Arial;sans-serif"/>
                  <w:b/>
                  <w:strike w:val="false"/>
                  <w:dstrike w:val="false"/>
                  <w:color w:val="006098"/>
                  <w:sz w:val="20"/>
                  <w:u w:val="none"/>
                  <w:effect w:val="none"/>
                </w:rPr>
                <w:t>PART I</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34">
              <w:r>
                <w:rPr>
                  <w:rStyle w:val="InternetLink"/>
                  <w:rFonts w:ascii="Arial;sans-serif" w:hAnsi="Arial;sans-serif"/>
                  <w:b/>
                  <w:strike w:val="false"/>
                  <w:dstrike w:val="false"/>
                  <w:color w:val="006098"/>
                  <w:sz w:val="20"/>
                  <w:u w:val="none"/>
                  <w:effect w:val="none"/>
                </w:rPr>
                <w:t>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4">
              <w:r>
                <w:rPr>
                  <w:rStyle w:val="InternetLink"/>
                  <w:rFonts w:ascii="Arial;sans-serif" w:hAnsi="Arial;sans-serif"/>
                  <w:b w:val="false"/>
                  <w:strike w:val="false"/>
                  <w:dstrike w:val="false"/>
                  <w:color w:val="131E29"/>
                  <w:sz w:val="20"/>
                  <w:u w:val="none"/>
                  <w:effect w:val="none"/>
                </w:rPr>
                <w:t>3</w:t>
              </w:r>
            </w:hyperlink>
          </w:p>
        </w:tc>
      </w:tr>
      <w:t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7">
              <w:r>
                <w:rPr>
                  <w:rStyle w:val="InternetLink"/>
                  <w:rFonts w:ascii="Arial;sans-serif" w:hAnsi="Arial;sans-serif"/>
                  <w:b w:val="false"/>
                  <w:strike w:val="false"/>
                  <w:dstrike w:val="false"/>
                  <w:color w:val="131E29"/>
                  <w:sz w:val="20"/>
                  <w:u w:val="none"/>
                  <w:effect w:val="none"/>
                </w:rPr>
                <w:t>ITEM 1.</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37">
              <w:r>
                <w:rPr>
                  <w:rStyle w:val="InternetLink"/>
                  <w:rFonts w:ascii="Arial;sans-serif" w:hAnsi="Arial;sans-serif"/>
                  <w:b w:val="false"/>
                  <w:strike w:val="false"/>
                  <w:dstrike w:val="false"/>
                  <w:color w:val="131E29"/>
                  <w:sz w:val="20"/>
                  <w:u w:val="none"/>
                  <w:effect w:val="none"/>
                </w:rPr>
                <w:t>Financial Statements</w:t>
              </w:r>
            </w:hyperlink>
            <w:r>
              <w:rPr>
                <w:rFonts w:ascii="Arial;sans-serif" w:hAnsi="Arial;sans-serif"/>
                <w:b w:val="false"/>
                <w:color w:val="131E29"/>
                <w:sz w:val="20"/>
              </w:rPr>
              <w:t xml:space="preserve"> (Unaudited)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7">
              <w:r>
                <w:rPr>
                  <w:rStyle w:val="InternetLink"/>
                  <w:rFonts w:ascii="Arial;sans-serif" w:hAnsi="Arial;sans-serif"/>
                  <w:b w:val="false"/>
                  <w:strike w:val="false"/>
                  <w:dstrike w:val="false"/>
                  <w:color w:val="131E29"/>
                  <w:sz w:val="20"/>
                  <w:u w:val="none"/>
                  <w:effect w:val="none"/>
                </w:rPr>
                <w:t>3</w:t>
              </w:r>
            </w:hyperlink>
          </w:p>
        </w:tc>
      </w:tr>
      <w:tr>
        <w:tc>
          <w:tcPr>
            <w:tcW w:w="1327" w:type="dxa"/>
            <w:gridSpan w:val="3"/>
            <w:tcBorders/>
            <w:vAlign w:val="center"/>
          </w:tcPr>
          <w:p>
            <w:pPr>
              <w:pStyle w:val="TableContents"/>
              <w:bidi w:val="0"/>
              <w:spacing w:before="0" w:after="283"/>
              <w:jc w:val="left"/>
              <w:rPr>
                <w:sz w:val="4"/>
                <w:szCs w:val="4"/>
              </w:rPr>
            </w:pPr>
            <w:r>
              <w:rPr>
                <w:sz w:val="4"/>
                <w:szCs w:val="4"/>
              </w:rPr>
            </w:r>
          </w:p>
        </w:tc>
        <w:tc>
          <w:tcPr>
            <w:tcW w:w="595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1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46">
              <w:r>
                <w:rPr>
                  <w:rStyle w:val="InternetLink"/>
                  <w:rFonts w:ascii="Arial;sans-serif" w:hAnsi="Arial;sans-serif"/>
                  <w:b w:val="false"/>
                  <w:strike w:val="false"/>
                  <w:dstrike w:val="false"/>
                  <w:color w:val="131E29"/>
                  <w:sz w:val="20"/>
                  <w:u w:val="none"/>
                  <w:effect w:val="none"/>
                </w:rPr>
                <w:t>Condensed Consolidated Statements of Operations</w:t>
              </w:r>
            </w:hyperlink>
          </w:p>
        </w:tc>
        <w:tc>
          <w:tcPr>
            <w:tcW w:w="61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46">
              <w:r>
                <w:rPr>
                  <w:rStyle w:val="InternetLink"/>
                  <w:rFonts w:ascii="Arial;sans-serif" w:hAnsi="Arial;sans-serif"/>
                  <w:b w:val="false"/>
                  <w:strike w:val="false"/>
                  <w:dstrike w:val="false"/>
                  <w:color w:val="131E29"/>
                  <w:sz w:val="20"/>
                  <w:u w:val="none"/>
                  <w:effect w:val="none"/>
                </w:rPr>
                <w:t>3</w:t>
              </w:r>
            </w:hyperlink>
          </w:p>
        </w:tc>
      </w:tr>
      <w:t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49">
              <w:r>
                <w:rPr>
                  <w:rStyle w:val="InternetLink"/>
                  <w:rFonts w:ascii="Arial;sans-serif" w:hAnsi="Arial;sans-serif"/>
                  <w:b w:val="false"/>
                  <w:strike w:val="false"/>
                  <w:dstrike w:val="false"/>
                  <w:color w:val="131E29"/>
                  <w:sz w:val="20"/>
                  <w:u w:val="none"/>
                  <w:effect w:val="none"/>
                </w:rPr>
                <w:t>Condensed Consolidated Statements of Comprehensive Income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49">
              <w:r>
                <w:rPr>
                  <w:rStyle w:val="InternetLink"/>
                  <w:rFonts w:ascii="Arial;sans-serif" w:hAnsi="Arial;sans-serif"/>
                  <w:b w:val="false"/>
                  <w:strike w:val="false"/>
                  <w:dstrike w:val="false"/>
                  <w:color w:val="131E29"/>
                  <w:sz w:val="20"/>
                  <w:u w:val="none"/>
                  <w:effect w:val="none"/>
                </w:rPr>
                <w:t>4</w:t>
              </w:r>
            </w:hyperlink>
          </w:p>
        </w:tc>
      </w:tr>
      <w:t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52">
              <w:r>
                <w:rPr>
                  <w:rStyle w:val="InternetLink"/>
                  <w:rFonts w:ascii="Arial;sans-serif" w:hAnsi="Arial;sans-serif"/>
                  <w:b w:val="false"/>
                  <w:strike w:val="false"/>
                  <w:dstrike w:val="false"/>
                  <w:color w:val="131E29"/>
                  <w:sz w:val="20"/>
                  <w:u w:val="none"/>
                  <w:effect w:val="none"/>
                </w:rPr>
                <w:t>Condensed Consolidated Balance Sheets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52">
              <w:r>
                <w:rPr>
                  <w:rStyle w:val="InternetLink"/>
                  <w:rFonts w:ascii="Arial;sans-serif" w:hAnsi="Arial;sans-serif"/>
                  <w:b w:val="false"/>
                  <w:strike w:val="false"/>
                  <w:dstrike w:val="false"/>
                  <w:color w:val="131E29"/>
                  <w:sz w:val="20"/>
                  <w:u w:val="none"/>
                  <w:effect w:val="none"/>
                </w:rPr>
                <w:t>5</w:t>
              </w:r>
            </w:hyperlink>
          </w:p>
        </w:tc>
      </w:tr>
      <w:t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55">
              <w:r>
                <w:rPr>
                  <w:rStyle w:val="InternetLink"/>
                  <w:rFonts w:ascii="Arial;sans-serif" w:hAnsi="Arial;sans-serif"/>
                  <w:b w:val="false"/>
                  <w:strike w:val="false"/>
                  <w:dstrike w:val="false"/>
                  <w:color w:val="131E29"/>
                  <w:sz w:val="20"/>
                  <w:u w:val="none"/>
                  <w:effect w:val="none"/>
                </w:rPr>
                <w:t>Condensed Consolidated Statements of Stockholders’ Equity</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55">
              <w:r>
                <w:rPr>
                  <w:rStyle w:val="InternetLink"/>
                  <w:rFonts w:ascii="Arial;sans-serif" w:hAnsi="Arial;sans-serif"/>
                  <w:b w:val="false"/>
                  <w:strike w:val="false"/>
                  <w:dstrike w:val="false"/>
                  <w:color w:val="131E29"/>
                  <w:sz w:val="20"/>
                  <w:u w:val="none"/>
                  <w:effect w:val="none"/>
                </w:rPr>
                <w:t>6</w:t>
              </w:r>
            </w:hyperlink>
          </w:p>
        </w:tc>
      </w:tr>
      <w:t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76">
              <w:r>
                <w:rPr>
                  <w:rStyle w:val="InternetLink"/>
                  <w:rFonts w:ascii="Arial;sans-serif" w:hAnsi="Arial;sans-serif"/>
                  <w:b w:val="false"/>
                  <w:strike w:val="false"/>
                  <w:dstrike w:val="false"/>
                  <w:color w:val="131E29"/>
                  <w:sz w:val="20"/>
                  <w:u w:val="none"/>
                  <w:effect w:val="none"/>
                </w:rPr>
                <w:t>Condensed Consolidated Statements of Cash Flows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6">
              <w:r>
                <w:rPr>
                  <w:rStyle w:val="InternetLink"/>
                  <w:rFonts w:ascii="Arial;sans-serif" w:hAnsi="Arial;sans-serif"/>
                  <w:b w:val="false"/>
                  <w:strike w:val="false"/>
                  <w:dstrike w:val="false"/>
                  <w:color w:val="131E29"/>
                  <w:sz w:val="20"/>
                  <w:u w:val="none"/>
                  <w:effect w:val="none"/>
                </w:rPr>
                <w:t>10</w:t>
              </w:r>
            </w:hyperlink>
          </w:p>
        </w:tc>
      </w:tr>
      <w:t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82">
              <w:r>
                <w:rPr>
                  <w:rStyle w:val="InternetLink"/>
                  <w:rFonts w:ascii="Arial;sans-serif" w:hAnsi="Arial;sans-serif"/>
                  <w:b w:val="false"/>
                  <w:strike w:val="false"/>
                  <w:dstrike w:val="false"/>
                  <w:color w:val="131E29"/>
                  <w:sz w:val="20"/>
                  <w:u w:val="none"/>
                  <w:effect w:val="none"/>
                </w:rPr>
                <w:t>Notes to Condensed Consolidated Financial Statements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82">
              <w:r>
                <w:rPr>
                  <w:rStyle w:val="InternetLink"/>
                  <w:rFonts w:ascii="Arial;sans-serif" w:hAnsi="Arial;sans-serif"/>
                  <w:b w:val="false"/>
                  <w:strike w:val="false"/>
                  <w:dstrike w:val="false"/>
                  <w:color w:val="131E29"/>
                  <w:sz w:val="20"/>
                  <w:u w:val="none"/>
                  <w:effect w:val="none"/>
                </w:rPr>
                <w:t>12</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430">
              <w:r>
                <w:rPr>
                  <w:rStyle w:val="InternetLink"/>
                  <w:rFonts w:ascii="Arial;sans-serif" w:hAnsi="Arial;sans-serif"/>
                  <w:b w:val="false"/>
                  <w:strike w:val="false"/>
                  <w:dstrike w:val="false"/>
                  <w:color w:val="131E29"/>
                  <w:sz w:val="20"/>
                  <w:u w:val="none"/>
                  <w:effect w:val="none"/>
                </w:rPr>
                <w:t>ITEM 2.</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430">
              <w:r>
                <w:rPr>
                  <w:rStyle w:val="InternetLink"/>
                  <w:rFonts w:ascii="Arial;sans-serif" w:hAnsi="Arial;sans-serif"/>
                  <w:b w:val="false"/>
                  <w:strike w:val="false"/>
                  <w:dstrike w:val="false"/>
                  <w:color w:val="131E29"/>
                  <w:sz w:val="20"/>
                  <w:u w:val="none"/>
                  <w:effect w:val="none"/>
                </w:rPr>
                <w:t xml:space="preserve">Management’s Discussion and Analysis of Financial Condition and </w:t>
              </w:r>
            </w:hyperlink>
          </w:p>
          <w:p>
            <w:pPr>
              <w:pStyle w:val="TableContents"/>
              <w:bidi w:val="0"/>
              <w:spacing w:lineRule="auto" w:line="288" w:before="0" w:after="0"/>
              <w:jc w:val="left"/>
            </w:pPr>
            <w:hyperlink w:anchor="i14cd05f6fb404a99b00a75d57d7c96da_430">
              <w:r>
                <w:rPr>
                  <w:rStyle w:val="InternetLink"/>
                  <w:rFonts w:ascii="Arial;sans-serif" w:hAnsi="Arial;sans-serif"/>
                  <w:b w:val="false"/>
                  <w:strike w:val="false"/>
                  <w:dstrike w:val="false"/>
                  <w:color w:val="131E29"/>
                  <w:sz w:val="20"/>
                  <w:u w:val="none"/>
                  <w:effect w:val="none"/>
                </w:rPr>
                <w:t>Results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430">
              <w:r>
                <w:rPr>
                  <w:rStyle w:val="InternetLink"/>
                  <w:rFonts w:ascii="Arial;sans-serif" w:hAnsi="Arial;sans-serif"/>
                  <w:b w:val="false"/>
                  <w:strike w:val="false"/>
                  <w:dstrike w:val="false"/>
                  <w:color w:val="131E29"/>
                  <w:sz w:val="20"/>
                  <w:u w:val="none"/>
                  <w:effect w:val="none"/>
                </w:rPr>
                <w:t>32</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676">
              <w:r>
                <w:rPr>
                  <w:rStyle w:val="InternetLink"/>
                  <w:rFonts w:ascii="Arial;sans-serif" w:hAnsi="Arial;sans-serif"/>
                  <w:b w:val="false"/>
                  <w:strike w:val="false"/>
                  <w:dstrike w:val="false"/>
                  <w:color w:val="131E29"/>
                  <w:sz w:val="20"/>
                  <w:u w:val="none"/>
                  <w:effect w:val="none"/>
                </w:rPr>
                <w:t>ITEM 3</w:t>
              </w:r>
            </w:hyperlink>
            <w:r>
              <w:rPr>
                <w:rFonts w:ascii="Arial;sans-serif" w:hAnsi="Arial;sans-serif"/>
                <w:b w:val="false"/>
                <w:color w:val="131E29"/>
                <w:sz w:val="20"/>
              </w:rPr>
              <w:t>.</w:t>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676">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676">
              <w:r>
                <w:rPr>
                  <w:rStyle w:val="InternetLink"/>
                  <w:rFonts w:ascii="Arial;sans-serif" w:hAnsi="Arial;sans-serif"/>
                  <w:b w:val="false"/>
                  <w:strike w:val="false"/>
                  <w:dstrike w:val="false"/>
                  <w:color w:val="131E29"/>
                  <w:sz w:val="20"/>
                  <w:u w:val="none"/>
                  <w:effect w:val="none"/>
                </w:rPr>
                <w:t>47</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679">
              <w:r>
                <w:rPr>
                  <w:rStyle w:val="InternetLink"/>
                  <w:rFonts w:ascii="Arial;sans-serif" w:hAnsi="Arial;sans-serif"/>
                  <w:b w:val="false"/>
                  <w:strike w:val="false"/>
                  <w:dstrike w:val="false"/>
                  <w:color w:val="131E29"/>
                  <w:sz w:val="20"/>
                  <w:u w:val="none"/>
                  <w:effect w:val="none"/>
                </w:rPr>
                <w:t>ITEM 4.</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679">
              <w:r>
                <w:rPr>
                  <w:rStyle w:val="InternetLink"/>
                  <w:rFonts w:ascii="Arial;sans-serif" w:hAnsi="Arial;sans-serif"/>
                  <w:b w:val="false"/>
                  <w:strike w:val="false"/>
                  <w:dstrike w:val="false"/>
                  <w:color w:val="131E29"/>
                  <w:sz w:val="20"/>
                  <w:u w:val="none"/>
                  <w:effect w:val="none"/>
                </w:rPr>
                <w:t>Controls and Procedures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679">
              <w:r>
                <w:rPr>
                  <w:rStyle w:val="InternetLink"/>
                  <w:rFonts w:ascii="Arial;sans-serif" w:hAnsi="Arial;sans-serif"/>
                  <w:b w:val="false"/>
                  <w:strike w:val="false"/>
                  <w:dstrike w:val="false"/>
                  <w:color w:val="131E29"/>
                  <w:sz w:val="20"/>
                  <w:u w:val="none"/>
                  <w:effect w:val="none"/>
                </w:rPr>
                <w:t>48</w:t>
              </w:r>
            </w:hyperlink>
          </w:p>
        </w:tc>
      </w:tr>
      <w:t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688">
              <w:r>
                <w:rPr>
                  <w:rStyle w:val="InternetLink"/>
                  <w:rFonts w:ascii="Arial;sans-serif" w:hAnsi="Arial;sans-serif"/>
                  <w:b/>
                  <w:strike w:val="false"/>
                  <w:dstrike w:val="false"/>
                  <w:color w:val="006098"/>
                  <w:sz w:val="20"/>
                  <w:u w:val="none"/>
                  <w:effect w:val="none"/>
                </w:rPr>
                <w:t>PART II</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688">
              <w:r>
                <w:rPr>
                  <w:rStyle w:val="InternetLink"/>
                  <w:rFonts w:ascii="Arial;sans-serif" w:hAnsi="Arial;sans-serif"/>
                  <w:b/>
                  <w:strike w:val="false"/>
                  <w:dstrike w:val="false"/>
                  <w:color w:val="006098"/>
                  <w:sz w:val="20"/>
                  <w:u w:val="none"/>
                  <w:effect w:val="non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688">
              <w:r>
                <w:rPr>
                  <w:rStyle w:val="InternetLink"/>
                  <w:rFonts w:ascii="Arial;sans-serif" w:hAnsi="Arial;sans-serif"/>
                  <w:b w:val="false"/>
                  <w:strike w:val="false"/>
                  <w:dstrike w:val="false"/>
                  <w:color w:val="131E29"/>
                  <w:sz w:val="20"/>
                  <w:u w:val="none"/>
                  <w:effect w:val="none"/>
                </w:rPr>
                <w:t>49</w:t>
              </w:r>
            </w:hyperlink>
          </w:p>
        </w:tc>
      </w:tr>
      <w:t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shd w:fill="FDE02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691">
              <w:r>
                <w:rPr>
                  <w:rStyle w:val="InternetLink"/>
                  <w:rFonts w:ascii="Arial;sans-serif" w:hAnsi="Arial;sans-serif"/>
                  <w:b w:val="false"/>
                  <w:strike w:val="false"/>
                  <w:dstrike w:val="false"/>
                  <w:color w:val="131E29"/>
                  <w:sz w:val="20"/>
                  <w:u w:val="none"/>
                  <w:effect w:val="none"/>
                </w:rPr>
                <w:t>ITEM 1.</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691">
              <w:r>
                <w:rPr>
                  <w:rStyle w:val="InternetLink"/>
                  <w:rFonts w:ascii="Arial;sans-serif" w:hAnsi="Arial;sans-serif"/>
                  <w:b w:val="false"/>
                  <w:strike w:val="false"/>
                  <w:dstrike w:val="false"/>
                  <w:color w:val="131E29"/>
                  <w:sz w:val="20"/>
                  <w:u w:val="none"/>
                  <w:effect w:val="non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691">
              <w:r>
                <w:rPr>
                  <w:rStyle w:val="InternetLink"/>
                  <w:rFonts w:ascii="Arial;sans-serif" w:hAnsi="Arial;sans-serif"/>
                  <w:b w:val="false"/>
                  <w:strike w:val="false"/>
                  <w:dstrike w:val="false"/>
                  <w:color w:val="131E29"/>
                  <w:sz w:val="20"/>
                  <w:u w:val="none"/>
                  <w:effect w:val="none"/>
                </w:rPr>
                <w:t>49</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697">
              <w:r>
                <w:rPr>
                  <w:rStyle w:val="InternetLink"/>
                  <w:rFonts w:ascii="Arial;sans-serif" w:hAnsi="Arial;sans-serif"/>
                  <w:b w:val="false"/>
                  <w:strike w:val="false"/>
                  <w:dstrike w:val="false"/>
                  <w:color w:val="131E29"/>
                  <w:sz w:val="20"/>
                  <w:u w:val="none"/>
                  <w:effect w:val="none"/>
                </w:rPr>
                <w:t>ITEM 1A.</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697">
              <w:r>
                <w:rPr>
                  <w:rStyle w:val="InternetLink"/>
                  <w:rFonts w:ascii="Arial;sans-serif" w:hAnsi="Arial;sans-serif"/>
                  <w:b w:val="false"/>
                  <w:strike w:val="false"/>
                  <w:dstrike w:val="false"/>
                  <w:color w:val="131E29"/>
                  <w:sz w:val="20"/>
                  <w:u w:val="none"/>
                  <w:effect w:val="none"/>
                </w:rPr>
                <w:t>Risk Factors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697">
              <w:r>
                <w:rPr>
                  <w:rStyle w:val="InternetLink"/>
                  <w:rFonts w:ascii="Arial;sans-serif" w:hAnsi="Arial;sans-serif"/>
                  <w:b w:val="false"/>
                  <w:strike w:val="false"/>
                  <w:dstrike w:val="false"/>
                  <w:color w:val="131E29"/>
                  <w:sz w:val="20"/>
                  <w:u w:val="none"/>
                  <w:effect w:val="none"/>
                </w:rPr>
                <w:t>49</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42">
              <w:r>
                <w:rPr>
                  <w:rStyle w:val="InternetLink"/>
                  <w:rFonts w:ascii="Arial;sans-serif" w:hAnsi="Arial;sans-serif"/>
                  <w:b w:val="false"/>
                  <w:strike w:val="false"/>
                  <w:dstrike w:val="false"/>
                  <w:color w:val="131E29"/>
                  <w:sz w:val="20"/>
                  <w:u w:val="none"/>
                  <w:effect w:val="none"/>
                </w:rPr>
                <w:t>ITEM 2.</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742">
              <w:r>
                <w:rPr>
                  <w:rStyle w:val="InternetLink"/>
                  <w:rFonts w:ascii="Arial;sans-serif" w:hAnsi="Arial;sans-serif"/>
                  <w:b w:val="false"/>
                  <w:strike w:val="false"/>
                  <w:dstrike w:val="false"/>
                  <w:color w:val="131E29"/>
                  <w:sz w:val="20"/>
                  <w:u w:val="none"/>
                  <w:effect w:val="none"/>
                </w:rPr>
                <w:t>Unregistered Sales of Equity Securities and Use of Proceeds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42">
              <w:r>
                <w:rPr>
                  <w:rStyle w:val="InternetLink"/>
                  <w:rFonts w:ascii="Arial;sans-serif" w:hAnsi="Arial;sans-serif"/>
                  <w:b w:val="false"/>
                  <w:strike w:val="false"/>
                  <w:dstrike w:val="false"/>
                  <w:color w:val="131E29"/>
                  <w:sz w:val="20"/>
                  <w:u w:val="none"/>
                  <w:effect w:val="none"/>
                </w:rPr>
                <w:t>52</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57">
              <w:r>
                <w:rPr>
                  <w:rStyle w:val="InternetLink"/>
                  <w:rFonts w:ascii="Arial;sans-serif" w:hAnsi="Arial;sans-serif"/>
                  <w:b w:val="false"/>
                  <w:strike w:val="false"/>
                  <w:dstrike w:val="false"/>
                  <w:color w:val="131E29"/>
                  <w:sz w:val="20"/>
                  <w:u w:val="none"/>
                  <w:effect w:val="none"/>
                </w:rPr>
                <w:t>ITEM 3.</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757">
              <w:r>
                <w:rPr>
                  <w:rStyle w:val="InternetLink"/>
                  <w:rFonts w:ascii="Arial;sans-serif" w:hAnsi="Arial;sans-serif"/>
                  <w:b w:val="false"/>
                  <w:strike w:val="false"/>
                  <w:dstrike w:val="false"/>
                  <w:color w:val="131E29"/>
                  <w:sz w:val="20"/>
                  <w:u w:val="none"/>
                  <w:effect w:val="none"/>
                </w:rPr>
                <w:t>Defaults Upon Senior Securities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57">
              <w:r>
                <w:rPr>
                  <w:rStyle w:val="InternetLink"/>
                  <w:rFonts w:ascii="Arial;sans-serif" w:hAnsi="Arial;sans-serif"/>
                  <w:b w:val="false"/>
                  <w:strike w:val="false"/>
                  <w:dstrike w:val="false"/>
                  <w:color w:val="131E29"/>
                  <w:sz w:val="20"/>
                  <w:u w:val="none"/>
                  <w:effect w:val="none"/>
                </w:rPr>
                <w:t>52</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60">
              <w:r>
                <w:rPr>
                  <w:rStyle w:val="InternetLink"/>
                  <w:rFonts w:ascii="Arial;sans-serif" w:hAnsi="Arial;sans-serif"/>
                  <w:b w:val="false"/>
                  <w:strike w:val="false"/>
                  <w:dstrike w:val="false"/>
                  <w:color w:val="131E29"/>
                  <w:sz w:val="20"/>
                  <w:u w:val="none"/>
                  <w:effect w:val="none"/>
                </w:rPr>
                <w:t>ITEM 4.</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760">
              <w:r>
                <w:rPr>
                  <w:rStyle w:val="InternetLink"/>
                  <w:rFonts w:ascii="Arial;sans-serif" w:hAnsi="Arial;sans-serif"/>
                  <w:b w:val="false"/>
                  <w:strike w:val="false"/>
                  <w:dstrike w:val="false"/>
                  <w:color w:val="131E29"/>
                  <w:sz w:val="20"/>
                  <w:u w:val="none"/>
                  <w:effect w:val="none"/>
                </w:rPr>
                <w:t>Mine Safety Disclosure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60">
              <w:r>
                <w:rPr>
                  <w:rStyle w:val="InternetLink"/>
                  <w:rFonts w:ascii="Arial;sans-serif" w:hAnsi="Arial;sans-serif"/>
                  <w:b w:val="false"/>
                  <w:strike w:val="false"/>
                  <w:dstrike w:val="false"/>
                  <w:color w:val="131E29"/>
                  <w:sz w:val="20"/>
                  <w:u w:val="none"/>
                  <w:effect w:val="none"/>
                </w:rPr>
                <w:t>52</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63">
              <w:r>
                <w:rPr>
                  <w:rStyle w:val="InternetLink"/>
                  <w:rFonts w:ascii="Arial;sans-serif" w:hAnsi="Arial;sans-serif"/>
                  <w:b w:val="false"/>
                  <w:strike w:val="false"/>
                  <w:dstrike w:val="false"/>
                  <w:color w:val="131E29"/>
                  <w:sz w:val="20"/>
                  <w:u w:val="none"/>
                  <w:effect w:val="none"/>
                </w:rPr>
                <w:t>ITEM 5.</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763">
              <w:r>
                <w:rPr>
                  <w:rStyle w:val="InternetLink"/>
                  <w:rFonts w:ascii="Arial;sans-serif" w:hAnsi="Arial;sans-serif"/>
                  <w:b w:val="false"/>
                  <w:strike w:val="false"/>
                  <w:dstrike w:val="false"/>
                  <w:color w:val="131E29"/>
                  <w:sz w:val="20"/>
                  <w:u w:val="none"/>
                  <w:effect w:val="none"/>
                </w:rPr>
                <w:t>Other Information</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763">
              <w:r>
                <w:rPr>
                  <w:rStyle w:val="InternetLink"/>
                  <w:rFonts w:ascii="Arial;sans-serif" w:hAnsi="Arial;sans-serif"/>
                  <w:b w:val="false"/>
                  <w:strike w:val="false"/>
                  <w:dstrike w:val="false"/>
                  <w:color w:val="131E29"/>
                  <w:sz w:val="20"/>
                  <w:u w:val="none"/>
                  <w:effect w:val="none"/>
                </w:rPr>
                <w:t>52</w:t>
              </w:r>
            </w:hyperlink>
          </w:p>
        </w:tc>
      </w:tr>
      <w:t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868">
              <w:r>
                <w:rPr>
                  <w:rStyle w:val="InternetLink"/>
                  <w:rFonts w:ascii="Arial;sans-serif" w:hAnsi="Arial;sans-serif"/>
                  <w:b w:val="false"/>
                  <w:strike w:val="false"/>
                  <w:dstrike w:val="false"/>
                  <w:color w:val="131E29"/>
                  <w:sz w:val="20"/>
                  <w:u w:val="none"/>
                  <w:effect w:val="none"/>
                </w:rPr>
                <w:t>ITEM 6.</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868">
              <w:r>
                <w:rPr>
                  <w:rStyle w:val="InternetLink"/>
                  <w:rFonts w:ascii="Arial;sans-serif" w:hAnsi="Arial;sans-serif"/>
                  <w:b w:val="false"/>
                  <w:strike w:val="false"/>
                  <w:dstrike w:val="false"/>
                  <w:color w:val="131E29"/>
                  <w:sz w:val="20"/>
                  <w:u w:val="none"/>
                  <w:effect w:val="none"/>
                </w:rPr>
                <w:t>Exhibits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868">
              <w:r>
                <w:rPr>
                  <w:rStyle w:val="InternetLink"/>
                  <w:rFonts w:ascii="Arial;sans-serif" w:hAnsi="Arial;sans-serif"/>
                  <w:b w:val="false"/>
                  <w:strike w:val="false"/>
                  <w:dstrike w:val="false"/>
                  <w:color w:val="131E29"/>
                  <w:sz w:val="20"/>
                  <w:u w:val="none"/>
                  <w:effect w:val="none"/>
                </w:rPr>
                <w:t>53</w:t>
              </w:r>
            </w:hyperlink>
          </w:p>
        </w:tc>
      </w:tr>
      <w:t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2" w:type="dxa"/>
            <w:gridSpan w:val="6"/>
            <w:tcBorders/>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871">
              <w:r>
                <w:rPr>
                  <w:rStyle w:val="InternetLink"/>
                  <w:rFonts w:ascii="Arial;sans-serif" w:hAnsi="Arial;sans-serif"/>
                  <w:b/>
                  <w:strike w:val="false"/>
                  <w:dstrike w:val="false"/>
                  <w:color w:val="006098"/>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871">
              <w:r>
                <w:rPr>
                  <w:rStyle w:val="InternetLink"/>
                  <w:rFonts w:ascii="Arial;sans-serif" w:hAnsi="Arial;sans-serif"/>
                  <w:b w:val="false"/>
                  <w:strike w:val="false"/>
                  <w:dstrike w:val="false"/>
                  <w:color w:val="131E29"/>
                  <w:sz w:val="20"/>
                  <w:u w:val="none"/>
                  <w:effect w:val="none"/>
                </w:rPr>
                <w:t>54</w:t>
              </w:r>
            </w:hyperlink>
          </w:p>
        </w:tc>
      </w:tr>
      <w:t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pPr>
                      <w:r/>
                    </w:p>
                  </w:txbxContent>
                </v:textbox>
                <w10:wrap type="none"/>
              </v:rect>
            </w:pict>
          </mc:Fallback>
        </mc:AlternateContent>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 xml:space="preserve">GLOSSARY </w:t>
      </w:r>
    </w:p>
    <w:p>
      <w:pPr>
        <w:pStyle w:val="TextBody"/>
        <w:bidi w:val="0"/>
        <w:spacing w:lineRule="auto" w:line="288" w:before="0" w:after="120"/>
        <w:jc w:val="both"/>
        <w:rPr>
          <w:rFonts w:ascii="Arial;sans-serif" w:hAnsi="Arial;sans-serif"/>
          <w:b w:val="false"/>
          <w:color w:val="131E29"/>
          <w:sz w:val="19"/>
        </w:rPr>
      </w:pPr>
      <w:r>
        <w:rPr>
          <w:rFonts w:ascii="Arial;sans-serif" w:hAnsi="Arial;sans-serif"/>
          <w:b w:val="false"/>
          <w:color w:val="131E29"/>
          <w:sz w:val="19"/>
        </w:rPr>
        <w:t xml:space="preserve">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 </w:t>
      </w:r>
    </w:p>
    <w:tbl>
      <w:tblPr>
        <w:tblW w:w="10205" w:type="dxa"/>
        <w:jc w:val="left"/>
        <w:tblInd w:w="0" w:type="dxa"/>
        <w:tblLayout w:type="fixed"/>
        <w:tblCellMar>
          <w:top w:w="28" w:type="dxa"/>
          <w:left w:w="28" w:type="dxa"/>
          <w:bottom w:w="28" w:type="dxa"/>
          <w:right w:w="28" w:type="dxa"/>
        </w:tblCellMar>
      </w:tblPr>
      <w:tblGrid>
        <w:gridCol w:w="813"/>
        <w:gridCol w:w="446"/>
        <w:gridCol w:w="442"/>
        <w:gridCol w:w="109"/>
        <w:gridCol w:w="109"/>
        <w:gridCol w:w="109"/>
        <w:gridCol w:w="2555"/>
        <w:gridCol w:w="2310"/>
        <w:gridCol w:w="3312"/>
      </w:tblGrid>
      <w:tr>
        <w:tc>
          <w:tcPr>
            <w:tcW w:w="8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c>
          <w:tcPr>
            <w:tcW w:w="1701"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6098"/>
                <w:sz w:val="20"/>
              </w:rPr>
            </w:pPr>
            <w:r>
              <w:rPr>
                <w:rFonts w:ascii="Arial;sans-serif" w:hAnsi="Arial;sans-serif"/>
                <w:b/>
                <w:color w:val="006098"/>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both"/>
              <w:rPr>
                <w:rFonts w:ascii="Arial;sans-serif" w:hAnsi="Arial;sans-serif"/>
                <w:b/>
                <w:color w:val="006098"/>
                <w:sz w:val="20"/>
              </w:rPr>
            </w:pPr>
            <w:r>
              <w:rPr>
                <w:rFonts w:ascii="Arial;sans-serif" w:hAnsi="Arial;sans-serif"/>
                <w:b/>
                <w:color w:val="006098"/>
                <w:sz w:val="20"/>
              </w:rPr>
              <w:t>Definition</w:t>
            </w:r>
          </w:p>
        </w:tc>
      </w:tr>
      <w:tr>
        <w:tc>
          <w:tcPr>
            <w:tcW w:w="170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2022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Has the meaning set forth in NOTE 9 — Debt to the condensed consolidated financial statements, included elsewhere in this Form 10-Q</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2025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Has the meaning set forth in NOTE 9 — Debt to the condensed consolidated financial statements, included elsewhere in this Form 10-Q</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AOCI</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Accumulated Other Comprehensive Income</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Accounting Standards Codification</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Accounting Standards Update</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AUV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Average Unit Volume</w:t>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BPS or bps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Basis points, which is used to express differences in rates. One basis point is the equivalent of 1/100 of one percent</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Chief Executive Officer</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CODM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Chief Operating Decision Maker</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Co-Founder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Travis Boersma, our Executive Chairman and Co-Founder, and affiliated entities over which he maintains voting control</w:t>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Continuing Members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The Co-Founder and the Sponsor</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Dutch Mafia, LLC, a Delaware limited liability company and direct subsidiary of Dutch Bros Inc.</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 Delaware corporation, the Class A common stock of which is publicly traded on the New York Stock Exchange under the symbol “BROS”</w:t>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EBITDAR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Earnings before interest, taxes, depreciation, amortization, and rent costs</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FASB</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Financial Accounting Standards Board</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U.S. Generally Accepted Accounting Principles</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IPO</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Initial Public Offering</w:t>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Not applicable</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N/M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Not meaningful</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OpCo LLC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The Fifth Amended and Restated Limited Liability Company Agreement of Dutch Bros OpCo</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OpCo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Class A common units, Class B voting units and Class C voting units of Dutch Bros OpCo, each as further defined in the OpCo LLC Agreement, collectively</w:t>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Performance Restricted Stock Units</w:t>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RSU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Restricted Stock Units</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131E29"/>
                <w:sz w:val="18"/>
              </w:rPr>
            </w:pPr>
            <w:r>
              <w:rPr>
                <w:rFonts w:ascii="Arial;sans-serif" w:hAnsi="Arial;sans-serif"/>
                <w:b/>
                <w:color w:val="131E29"/>
                <w:sz w:val="18"/>
              </w:rPr>
              <w:t>Same Shop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rFonts w:ascii="Arial;sans-serif" w:hAnsi="Arial;sans-serif"/>
                <w:b w:val="false"/>
                <w:color w:val="131E29"/>
                <w:sz w:val="18"/>
              </w:rPr>
            </w:pPr>
            <w:r>
              <w:rPr>
                <w:rFonts w:ascii="Arial;sans-serif" w:hAnsi="Arial;sans-serif"/>
                <w:b w:val="false"/>
                <w:color w:val="131E29"/>
                <w:sz w:val="18"/>
              </w:rPr>
              <w:t>The estimated percentage change in year-over-year sales, for the comparable shop base, which we define as shops open for 15 complete months or longer as of the first day of the reporting period</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SEC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Securities and Exchange Commission</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Secured Overnight Financing Rate</w:t>
            </w:r>
          </w:p>
        </w:tc>
      </w:tr>
      <w:t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Sponsor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TSG Consumer Partners, L.P. and certain of its affiliates</w:t>
            </w:r>
          </w:p>
        </w:tc>
      </w:tr>
      <w:t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Tax Receivable Agreements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The Tax Receivable Agreement (Exchanges) that Dutch Bros Inc. entered into with the Continuing Members and the Tax Receivable Agreement (Reorganization) that Dutch Bros Inc. entered into with TSG7 A AIV VI Holdings-A, L.P. and DG Coinvestor Blocker Aggregator, L.P. or their assignees or successors, in connection with the IPO</w:t>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pPr>
      <w:r>
        <w:rPr>
          <w:rFonts w:ascii="Arial;sans-serif" w:hAnsi="Arial;sans-serif"/>
          <w:b w:val="false"/>
          <w:i/>
          <w:color w:val="131E29"/>
          <w:sz w:val="16"/>
        </w:rPr>
        <w:t>Dutch Bros</w:t>
      </w:r>
      <w:r>
        <w:rPr>
          <w:rFonts w:ascii="Arial;sans-serif" w:hAnsi="Arial;sans-serif"/>
          <w:b w:val="false"/>
          <w:color w:val="131E29"/>
          <w:sz w:val="16"/>
        </w:rPr>
        <w:t>, our Windmill logo (</w:t>
      </w:r>
      <w:r>
        <w:drawing>
          <wp:inline distT="0" distB="0" distL="0" distR="0">
            <wp:extent cx="123825" cy="1809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3825" cy="180975"/>
                    </a:xfrm>
                    <a:prstGeom prst="rect">
                      <a:avLst/>
                    </a:prstGeom>
                  </pic:spPr>
                </pic:pic>
              </a:graphicData>
            </a:graphic>
          </wp:inline>
        </w:drawing>
      </w:r>
      <w:bookmarkStart w:id="1" w:name="i-2"/>
      <w:bookmarkEnd w:id="1"/>
      <w:r>
        <w:rPr>
          <w:rFonts w:ascii="Arial;sans-serif" w:hAnsi="Arial;sans-serif"/>
          <w:b w:val="false"/>
          <w:color w:val="131E29"/>
          <w:sz w:val="16"/>
        </w:rPr>
        <w:t xml:space="preserve">), </w:t>
      </w:r>
      <w:r>
        <w:rPr>
          <w:rFonts w:ascii="Arial;sans-serif" w:hAnsi="Arial;sans-serif"/>
          <w:b w:val="false"/>
          <w:i/>
          <w:color w:val="131E29"/>
          <w:sz w:val="16"/>
        </w:rPr>
        <w:t>Dutch Bros Rebel</w:t>
      </w:r>
      <w:r>
        <w:rPr>
          <w:rFonts w:ascii="Arial;sans-serif" w:hAnsi="Arial;sans-serif"/>
          <w:b w:val="false"/>
          <w:color w:val="131E29"/>
          <w:sz w:val="16"/>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63220"/>
                <wp:effectExtent l="0" t="0" r="0" b="0"/>
                <wp:wrapNone/>
                <wp:docPr id="5" name="Frame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bookmarkStart w:id="2" w:name="i-3"/>
                            <w:bookmarkEnd w:id="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bookmarkStart w:id="3" w:name="i-3"/>
                      <w:bookmarkEnd w:id="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Forward-Looking Statements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statements in this Form 10-Q, including those in the section titled “Management’s Discussion and Analysis,” that are not historical facts, including those regarding the impact of inflation, increased minimum wages, interest rate risk, and general macroeconomic conditions, including the conflicts in the Middle East,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“estimate,” “expect,” “intend,” “may,” “predict,” “project,” “should,” “target,” and similar terms and phrases, including references to assumptions, to identify forward-looking statements. In addition, statements that “we believe” and similar statements reflect our beliefs and opinions on the relevant subject. While we believe that this information provides a reasonable basis for these statements, that information may be limited or incomplete, and our statements should not be read to indicate that we have conducted an exhaustive inquiry into, or review of, all relevant information. These forward-looking statements are based on information available to us as of the date of this Form 10-Q, and we assume no obligation to update these forward-looking statements. These statements are subject to risks and uncertainties that could cause actual results to differ materially from those described in the statements. You should not place undue reliance on forward-looking statements, which speak only as of the date of this Form 10-Q.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2025, filed with the SEC on February 13, 2026 (2025 Form 10-K).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and in our 2025 Form 10-K, as such risk factors may be amended, supplemented or superseded from time to time by other reports we file with the SEC.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Website Disclosure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63220"/>
                <wp:effectExtent l="0" t="0" r="0" b="0"/>
                <wp:wrapNone/>
                <wp:docPr id="8" name="Frame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bookmarkStart w:id="4" w:name="i-4"/>
                            <w:bookmarkEnd w:id="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bookmarkStart w:id="5" w:name="i-4"/>
                      <w:bookmarkEnd w:id="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w10:wrap type="none"/>
              </v:rect>
            </w:pict>
          </mc:Fallback>
        </mc:AlternateContent>
      </w:r>
    </w:p>
    <w:p>
      <w:pPr>
        <w:pStyle w:val="TextBody"/>
        <w:bidi w:val="0"/>
        <w:spacing w:before="0" w:after="0"/>
        <w:ind w:left="0" w:right="0" w:firstLine="360"/>
        <w:jc w:val="left"/>
      </w:pPr>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 FINANCIAL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60"/>
        <w:jc w:val="center"/>
        <w:rPr>
          <w:rFonts w:ascii="Arial;sans-serif" w:hAnsi="Arial;sans-serif"/>
          <w:b w:val="false"/>
          <w:color w:val="131E29"/>
          <w:sz w:val="20"/>
        </w:rPr>
      </w:pPr>
      <w:r>
        <w:rPr>
          <w:rFonts w:ascii="Arial;sans-serif" w:hAnsi="Arial;sans-serif"/>
          <w:b w:val="false"/>
          <w:color w:val="131E29"/>
          <w:sz w:val="20"/>
        </w:rPr>
        <w:t>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1478"/>
        <w:gridCol w:w="821"/>
        <w:gridCol w:w="826"/>
        <w:gridCol w:w="109"/>
        <w:gridCol w:w="109"/>
        <w:gridCol w:w="109"/>
        <w:gridCol w:w="231"/>
        <w:gridCol w:w="938"/>
        <w:gridCol w:w="119"/>
        <w:gridCol w:w="119"/>
        <w:gridCol w:w="119"/>
        <w:gridCol w:w="119"/>
        <w:gridCol w:w="231"/>
        <w:gridCol w:w="938"/>
        <w:gridCol w:w="119"/>
        <w:gridCol w:w="109"/>
        <w:gridCol w:w="109"/>
        <w:gridCol w:w="109"/>
        <w:gridCol w:w="218"/>
        <w:gridCol w:w="1058"/>
        <w:gridCol w:w="112"/>
        <w:gridCol w:w="112"/>
        <w:gridCol w:w="112"/>
        <w:gridCol w:w="112"/>
        <w:gridCol w:w="218"/>
        <w:gridCol w:w="1058"/>
        <w:gridCol w:w="112"/>
        <w:gridCol w:w="109"/>
        <w:gridCol w:w="109"/>
        <w:gridCol w:w="163"/>
      </w:tblGrid>
      <w:tr>
        <w:tc>
          <w:tcPr>
            <w:tcW w:w="147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c>
          <w:tcPr>
            <w:tcW w:w="3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515,006 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392,833 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1,454,094 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1,099,754 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34,833 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30,751 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111,008 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94,795 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549,839 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423,584 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1,565,102 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1,194,549 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418,071 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316,805 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1,174,802 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877,733 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78,954 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65,289 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232,781 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189,595 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497,025 </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382,094 </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1,407,583 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1,067,328 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52,814 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41,490 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157,519 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127,221 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(6,695)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(21,337)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(20,886)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300 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149 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1,086 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(1,852)</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(6,779)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(6,546)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(20,251)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(22,738)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46,035 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34,944 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137,268 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104,483 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8,807 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7,661 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24,771 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16,363 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37,228 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27,283 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112,497 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88,120 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Less: Net income attributable to non-controlling interests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10,071 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9,788 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31,833 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29,648 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Net income attributable to Dutch Bros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27,157</w:t>
            </w:r>
            <w:r>
              <w:rPr>
                <w:color w:val="006098"/>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17,495</w:t>
            </w:r>
            <w:r>
              <w:rPr>
                <w:color w:val="131E29"/>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80,664</w:t>
            </w:r>
            <w:r>
              <w:rPr>
                <w:color w:val="006098"/>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58,472</w:t>
            </w:r>
            <w:r>
              <w:rPr>
                <w:color w:val="131E29"/>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per share of Class A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0.20</w:t>
            </w:r>
            <w:r>
              <w:rPr>
                <w:color w:val="006098"/>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0.14</w:t>
            </w: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0.61</w:t>
            </w:r>
            <w:r>
              <w:rPr>
                <w:color w:val="00609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0.47</w:t>
            </w:r>
            <w:r>
              <w:rPr>
                <w:color w:val="131E29"/>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38" w:type="dxa"/>
            <w:tcBorders/>
            <w:shd w:fill="D2DCE5"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0.20</w:t>
            </w:r>
            <w:r>
              <w:rPr>
                <w:color w:val="006098"/>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938" w:type="dxa"/>
            <w:tcBorders/>
            <w:shd w:fill="D2DCE5"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0.14</w:t>
            </w: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58" w:type="dxa"/>
            <w:tcBorders/>
            <w:shd w:fill="D2DCE5"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0.60</w:t>
            </w:r>
            <w:r>
              <w:rPr>
                <w:color w:val="006098"/>
              </w:rPr>
              <w:t>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58" w:type="dxa"/>
            <w:tcBorders/>
            <w:shd w:fill="D2DCE5" w:val="clear"/>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0.47</w:t>
            </w:r>
            <w:r>
              <w:rPr>
                <w:color w:val="131E29"/>
              </w:rPr>
              <w:t>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137,941 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126,986 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133,230 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124,751 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138,178 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127,379 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133,388 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125,204 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63220"/>
                <wp:effectExtent l="0" t="0" r="0" b="0"/>
                <wp:wrapNone/>
                <wp:docPr id="11" name="Frame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bookmarkStart w:id="6" w:name="i-5"/>
                            <w:bookmarkEnd w:id="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bookmarkStart w:id="7" w:name="i-5"/>
                      <w:bookmarkEnd w:id="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before="0" w:after="60"/>
        <w:jc w:val="center"/>
      </w:pPr>
      <w:r/>
    </w:p>
    <w:p>
      <w:pPr>
        <w:pStyle w:val="TextBody"/>
        <w:bidi w:val="0"/>
        <w:spacing w:before="0" w:after="180"/>
        <w:jc w:val="left"/>
      </w:p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1593"/>
        <w:gridCol w:w="1164"/>
        <w:gridCol w:w="1068"/>
        <w:gridCol w:w="109"/>
        <w:gridCol w:w="109"/>
        <w:gridCol w:w="109"/>
        <w:gridCol w:w="230"/>
        <w:gridCol w:w="822"/>
        <w:gridCol w:w="119"/>
        <w:gridCol w:w="119"/>
        <w:gridCol w:w="119"/>
        <w:gridCol w:w="119"/>
        <w:gridCol w:w="230"/>
        <w:gridCol w:w="822"/>
        <w:gridCol w:w="119"/>
        <w:gridCol w:w="109"/>
        <w:gridCol w:w="109"/>
        <w:gridCol w:w="109"/>
        <w:gridCol w:w="226"/>
        <w:gridCol w:w="917"/>
        <w:gridCol w:w="116"/>
        <w:gridCol w:w="116"/>
        <w:gridCol w:w="116"/>
        <w:gridCol w:w="116"/>
        <w:gridCol w:w="226"/>
        <w:gridCol w:w="804"/>
        <w:gridCol w:w="116"/>
        <w:gridCol w:w="109"/>
        <w:gridCol w:w="165"/>
      </w:tblGrid>
      <w:tr>
        <w:tc>
          <w:tcPr>
            <w:tcW w:w="159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4" w:type="dxa"/>
            <w:gridSpan w:val="2"/>
            <w:tcBorders/>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37,228 </w:t>
            </w:r>
          </w:p>
        </w:tc>
        <w:tc>
          <w:tcPr>
            <w:tcW w:w="11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27,283 </w:t>
            </w:r>
          </w:p>
        </w:tc>
        <w:tc>
          <w:tcPr>
            <w:tcW w:w="11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1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112,497 </w:t>
            </w:r>
          </w:p>
        </w:tc>
        <w:tc>
          <w:tcPr>
            <w:tcW w:w="11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0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88,120 </w:t>
            </w:r>
          </w:p>
        </w:tc>
        <w:tc>
          <w:tcPr>
            <w:tcW w:w="11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benefit of $25, $40, $36 and $187,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(105)</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(187)</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(117)</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(777)</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37,123 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27,096 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112,380 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87,343 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comprehensive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10,042 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9,723 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31,793 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29,337 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Comprehensive income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27,081</w:t>
            </w:r>
            <w:r>
              <w:rPr>
                <w:color w:val="006098"/>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17,373</w:t>
            </w:r>
            <w:r>
              <w:rPr>
                <w:color w:val="131E29"/>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80,587</w:t>
            </w:r>
            <w:r>
              <w:rPr>
                <w:color w:val="006098"/>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58,006</w:t>
            </w:r>
            <w:r>
              <w:rPr>
                <w:color w:val="131E29"/>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63220"/>
                <wp:effectExtent l="0" t="0" r="0" b="0"/>
                <wp:wrapNone/>
                <wp:docPr id="14" name="Frame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bookmarkStart w:id="8" w:name="i-6"/>
                            <w:bookmarkEnd w:id="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bookmarkStart w:id="9" w:name="i-6"/>
                      <w:bookmarkEnd w:id="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w10:wrap type="none"/>
              </v:rect>
            </w:pict>
          </mc:Fallback>
        </mc:AlternateContent>
      </w:r>
    </w:p>
    <w:p>
      <w:pPr>
        <w:pStyle w:val="TextBody"/>
        <w:bidi w:val="0"/>
        <w:spacing w:before="0" w:after="0"/>
        <w:jc w:val="center"/>
      </w:pPr>
      <w:r/>
    </w:p>
    <w:p>
      <w:pPr>
        <w:pStyle w:val="TextBody"/>
        <w:bidi w:val="0"/>
        <w:spacing w:lineRule="auto" w:line="288" w:before="0" w:after="180"/>
        <w:ind w:left="0" w:right="0" w:firstLine="36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51"/>
        <w:gridCol w:w="2076"/>
        <w:gridCol w:w="2090"/>
        <w:gridCol w:w="109"/>
        <w:gridCol w:w="109"/>
        <w:gridCol w:w="109"/>
        <w:gridCol w:w="218"/>
        <w:gridCol w:w="1026"/>
        <w:gridCol w:w="112"/>
        <w:gridCol w:w="109"/>
        <w:gridCol w:w="109"/>
        <w:gridCol w:w="109"/>
        <w:gridCol w:w="213"/>
        <w:gridCol w:w="1005"/>
        <w:gridCol w:w="160"/>
      </w:tblGrid>
      <w:tr>
        <w:tc>
          <w:tcPr>
            <w:tcW w:w="265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705" w:type="dxa"/>
            <w:gridSpan w:val="6"/>
            <w:tcBorders/>
          </w:tcPr>
          <w:p>
            <w:pPr>
              <w:pStyle w:val="TableContents"/>
              <w:bidi w:val="0"/>
              <w:spacing w:before="0" w:after="283"/>
              <w:jc w:val="left"/>
              <w:rPr>
                <w:sz w:val="4"/>
                <w:szCs w:val="4"/>
              </w:rPr>
            </w:pPr>
            <w:r>
              <w:rPr>
                <w:sz w:val="4"/>
                <w:szCs w:val="4"/>
              </w:rPr>
            </w:r>
          </w:p>
        </w:tc>
      </w:tr>
      <w:tr>
        <w:tc>
          <w:tcPr>
            <w:tcW w:w="6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2025</w:t>
            </w:r>
          </w:p>
        </w:tc>
      </w:tr>
      <w:tr>
        <w:tc>
          <w:tcPr>
            <w:tcW w:w="681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102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194,606 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100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269,404 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15,768 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18,387 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42,001 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48,917 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31,732 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20,670 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284,107 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357,378 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981,790 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824,502 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1,076,370 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855,339 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1,103,811 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946,571 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64,975 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25,524 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18"/>
              </w:rPr>
            </w:pPr>
            <w:r>
              <w:rPr>
                <w:rFonts w:ascii="Arial;sans-serif" w:hAnsi="Arial;sans-serif"/>
                <w:b/>
                <w:color w:val="006098"/>
                <w:sz w:val="18"/>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18"/>
              </w:rPr>
              <w:t>3,511,053</w:t>
            </w:r>
            <w:r>
              <w:rPr>
                <w:color w:val="006098"/>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8"/>
              </w:rPr>
            </w:pPr>
            <w:r>
              <w:rPr>
                <w:rFonts w:ascii="Arial;sans-serif" w:hAnsi="Arial;sans-serif"/>
                <w:b/>
                <w:color w:val="131E29"/>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8"/>
              </w:rPr>
              <w:t>3,009,314</w:t>
            </w:r>
            <w:r>
              <w:rPr>
                <w:color w:val="131E29"/>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Liabilities and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102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49,530 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100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37,625 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121,522 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99,173 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52,332 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55,658 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tax receivable agreements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7,696 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46,080 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36,466 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4,766 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3,881 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274,916 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240,499 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6,669 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8,918 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1,054,345 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852,380 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192,870 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196,295 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receivable agreements liability,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973,132 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813,353 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2,501,932 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2,111,445 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Commitments and contingencies (Note 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Preferred stock, $0.00001 par value per share - 20,000 shares authorized; zero shares issued and outstanding as of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Class A common stock, $0.00001 par value per share - 400,000 shares authorized; 137,951 and 127,054 shares issued and outstanding as of September 30, 2026 and December 31, 2025,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Class B common stock, $0.00001 par value per share - 144,000 shares authorized; 35,178 and 35,211 shares issued and outstanding as of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Class C common stock, $0.00001 par value per share - 105,000 shares authorized; 1,563 and 2,280 shares issued and outstanding as of September 30, 2026 and December 31, 2025,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649,634 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581,261 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Accumulated other comprehensive income (loss)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(29)</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48 </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Retained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180,172 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99,508 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stockholders' equity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829,778 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680,818 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179,343 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217,051 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1,009,121 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897,869 </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8"/>
              </w:rPr>
            </w:pPr>
            <w:r>
              <w:rPr>
                <w:rFonts w:ascii="Arial;sans-serif" w:hAnsi="Arial;sans-serif"/>
                <w:b/>
                <w:color w:val="006098"/>
                <w:sz w:val="18"/>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8"/>
              </w:rPr>
              <w:t>3,511,053</w:t>
            </w:r>
            <w:r>
              <w:rPr>
                <w:color w:val="006098"/>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18"/>
              </w:rPr>
            </w:pPr>
            <w:r>
              <w:rPr>
                <w:rFonts w:ascii="Arial;sans-serif" w:hAnsi="Arial;sans-serif"/>
                <w:b/>
                <w:color w:val="131E29"/>
                <w:sz w:val="18"/>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18"/>
              </w:rPr>
              <w:t>3,009,314</w:t>
            </w:r>
            <w:r>
              <w:rPr>
                <w:color w:val="131E29"/>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63220"/>
                <wp:effectExtent l="0" t="0" r="0" b="0"/>
                <wp:wrapNone/>
                <wp:docPr id="17" name="Frame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bookmarkStart w:id="10" w:name="i-7"/>
                            <w:bookmarkEnd w:id="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bookmarkStart w:id="11" w:name="i-7"/>
                      <w:bookmarkEnd w:id="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tbl>
      <w:tblPr>
        <w:tblW w:w="16076"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79"/>
        <w:gridCol w:w="670"/>
        <w:gridCol w:w="212"/>
        <w:gridCol w:w="109"/>
        <w:gridCol w:w="109"/>
        <w:gridCol w:w="109"/>
        <w:gridCol w:w="196"/>
        <w:gridCol w:w="751"/>
        <w:gridCol w:w="109"/>
        <w:gridCol w:w="327"/>
        <w:gridCol w:w="228"/>
        <w:gridCol w:w="875"/>
        <w:gridCol w:w="128"/>
        <w:gridCol w:w="327"/>
        <w:gridCol w:w="196"/>
        <w:gridCol w:w="886"/>
        <w:gridCol w:w="154"/>
      </w:tblGrid>
      <w:t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1572"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 2026</w:t>
            </w:r>
          </w:p>
        </w:tc>
        <w:tc>
          <w:tcPr>
            <w:tcW w:w="4504" w:type="dxa"/>
            <w:gridSpan w:val="18"/>
            <w:tcBorders/>
          </w:tcPr>
          <w:p>
            <w:pPr>
              <w:pStyle w:val="TableContents"/>
              <w:bidi w:val="0"/>
              <w:spacing w:before="0" w:after="283"/>
              <w:jc w:val="left"/>
              <w:rPr>
                <w:sz w:val="4"/>
                <w:szCs w:val="4"/>
              </w:rPr>
            </w:pPr>
            <w:r>
              <w:rPr>
                <w:sz w:val="4"/>
                <w:szCs w:val="4"/>
              </w:rPr>
            </w:r>
          </w:p>
        </w:tc>
      </w:tr>
      <w:tr>
        <w:tc>
          <w:tcPr>
            <w:tcW w:w="11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12"/>
            <w:tcBorders/>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137,893</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35,178</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1,587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644,589</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6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47</w:t>
            </w:r>
            <w:r>
              <w:rPr>
                <w:color w:val="131E29"/>
              </w:rPr>
              <w:t> </w:t>
            </w:r>
          </w:p>
        </w:tc>
        <w:tc>
          <w:tcPr>
            <w:tcW w:w="21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153,015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177,362</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8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16"/>
              </w:rPr>
              <w:t>975,014</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10,071 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37,228 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(76)</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5,397 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1,558 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34 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(815)</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(234)</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(1,049)</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143 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(143)</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(9,242)</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(9,242)</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137,951</w:t>
            </w:r>
            <w:r>
              <w:rPr>
                <w:color w:val="006098"/>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w:t>
            </w:r>
            <w:r>
              <w:rPr>
                <w:color w:val="006098"/>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35,178</w:t>
            </w:r>
            <w:r>
              <w:rPr>
                <w:color w:val="006098"/>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1,563</w:t>
            </w:r>
            <w:r>
              <w:rPr>
                <w:color w:val="006098"/>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649,634</w:t>
            </w:r>
            <w:r>
              <w:rPr>
                <w:color w:val="006098"/>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16"/>
              </w:rPr>
            </w:pPr>
            <w:r>
              <w:rPr>
                <w:rFonts w:ascii="Arial;sans-serif" w:hAnsi="Arial;sans-serif"/>
                <w:b/>
                <w:color w:val="006098"/>
                <w:sz w:val="16"/>
              </w:rPr>
              <w:t>(29)</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180,172</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179,343</w:t>
            </w:r>
            <w:r>
              <w:rPr>
                <w:color w:val="006098"/>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1,009,121</w:t>
            </w:r>
            <w:r>
              <w:rPr>
                <w:color w:val="006098"/>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63220"/>
                <wp:effectExtent l="0" t="0" r="0" b="0"/>
                <wp:wrapNone/>
                <wp:docPr id="20" name="Frame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bookmarkStart w:id="12" w:name="i-8"/>
                            <w:bookmarkEnd w:id="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bookmarkStart w:id="13" w:name="i-8"/>
                      <w:bookmarkEnd w:id="1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p>
      <w:pPr>
        <w:pStyle w:val="TextBody"/>
        <w:bidi w:val="0"/>
        <w:spacing w:before="0" w:after="180"/>
        <w:jc w:val="center"/>
      </w:pPr>
      <w:r/>
    </w:p>
    <w:tbl>
      <w:tblPr>
        <w:tblW w:w="16151" w:type="dxa"/>
        <w:jc w:val="center"/>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79"/>
        <w:gridCol w:w="670"/>
        <w:gridCol w:w="212"/>
        <w:gridCol w:w="109"/>
        <w:gridCol w:w="109"/>
        <w:gridCol w:w="109"/>
        <w:gridCol w:w="196"/>
        <w:gridCol w:w="751"/>
        <w:gridCol w:w="109"/>
        <w:gridCol w:w="327"/>
        <w:gridCol w:w="228"/>
        <w:gridCol w:w="875"/>
        <w:gridCol w:w="128"/>
        <w:gridCol w:w="327"/>
        <w:gridCol w:w="196"/>
        <w:gridCol w:w="886"/>
        <w:gridCol w:w="154"/>
      </w:tblGrid>
      <w:t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1647"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2026</w:t>
            </w:r>
          </w:p>
        </w:tc>
        <w:tc>
          <w:tcPr>
            <w:tcW w:w="4504" w:type="dxa"/>
            <w:gridSpan w:val="18"/>
            <w:tcBorders/>
          </w:tcPr>
          <w:p>
            <w:pPr>
              <w:pStyle w:val="TableContents"/>
              <w:bidi w:val="0"/>
              <w:spacing w:before="0" w:after="283"/>
              <w:jc w:val="left"/>
              <w:rPr>
                <w:sz w:val="4"/>
                <w:szCs w:val="4"/>
              </w:rPr>
            </w:pPr>
            <w:r>
              <w:rPr>
                <w:sz w:val="4"/>
                <w:szCs w:val="4"/>
              </w:rPr>
            </w:r>
          </w:p>
        </w:tc>
      </w:tr>
      <w:tr>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12"/>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127,054</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35,211</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2,280</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581,261</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6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48</w:t>
            </w:r>
            <w:r>
              <w:rPr>
                <w:color w:val="131E29"/>
              </w:rPr>
              <w:t> </w:t>
            </w:r>
          </w:p>
        </w:tc>
        <w:tc>
          <w:tcPr>
            <w:tcW w:w="21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99,508</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217,051</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897,869</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80,664 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31,833 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112,497 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(32)</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(77)</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(40)</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(149)</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14,500 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4,612 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19,112 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283 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(5,364)</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(2,028)</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(7,392)</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10,614 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45,989 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(45,989)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13,280 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13,280 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Reverse Split transaction pursuant to OpCo Recapitalization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(33)</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(26,096)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(26,096)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137,951</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w:t>
            </w:r>
            <w:r>
              <w:rPr>
                <w:color w:val="006098"/>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35,178</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1,563</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649,634</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67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16"/>
              </w:rPr>
            </w:pPr>
            <w:r>
              <w:rPr>
                <w:rFonts w:ascii="Arial;sans-serif" w:hAnsi="Arial;sans-serif"/>
                <w:b/>
                <w:color w:val="006098"/>
                <w:sz w:val="16"/>
              </w:rPr>
              <w:t>(29)</w:t>
            </w:r>
          </w:p>
        </w:tc>
        <w:tc>
          <w:tcPr>
            <w:tcW w:w="2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180,172</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179,343</w:t>
            </w:r>
            <w:r>
              <w:rPr>
                <w:color w:val="006098"/>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8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6"/>
              </w:rPr>
              <w:t>1,009,121</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63220"/>
                <wp:effectExtent l="0" t="0" r="0" b="0"/>
                <wp:wrapNone/>
                <wp:docPr id="23" name="Frame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bookmarkStart w:id="14" w:name="i-9"/>
                            <w:bookmarkEnd w:id="1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bookmarkStart w:id="15" w:name="i-9"/>
                      <w:bookmarkEnd w:id="1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60"/>
        <w:jc w:val="center"/>
      </w:pPr>
      <w:r/>
    </w:p>
    <w:tbl>
      <w:tblPr>
        <w:tblW w:w="15733" w:type="dxa"/>
        <w:jc w:val="center"/>
        <w:tblInd w:w="0" w:type="dxa"/>
        <w:tblLayout w:type="fixed"/>
        <w:tblCellMar>
          <w:top w:w="28" w:type="dxa"/>
          <w:left w:w="28" w:type="dxa"/>
          <w:bottom w:w="28" w:type="dxa"/>
          <w:right w:w="28" w:type="dxa"/>
        </w:tblCellMar>
      </w:tblPr>
      <w:tblGrid>
        <w:gridCol w:w="547"/>
        <w:gridCol w:w="296"/>
        <w:gridCol w:w="298"/>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33"/>
        <w:gridCol w:w="741"/>
        <w:gridCol w:w="187"/>
        <w:gridCol w:w="109"/>
        <w:gridCol w:w="109"/>
        <w:gridCol w:w="109"/>
        <w:gridCol w:w="225"/>
        <w:gridCol w:w="760"/>
        <w:gridCol w:w="126"/>
        <w:gridCol w:w="109"/>
        <w:gridCol w:w="109"/>
        <w:gridCol w:w="109"/>
        <w:gridCol w:w="228"/>
        <w:gridCol w:w="875"/>
        <w:gridCol w:w="128"/>
        <w:gridCol w:w="327"/>
        <w:gridCol w:w="196"/>
        <w:gridCol w:w="751"/>
        <w:gridCol w:w="154"/>
      </w:tblGrid>
      <w:tr>
        <w:tc>
          <w:tcPr>
            <w:tcW w:w="5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2747" w:type="dxa"/>
            <w:gridSpan w:val="6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 2025</w:t>
            </w:r>
          </w:p>
        </w:tc>
        <w:tc>
          <w:tcPr>
            <w:tcW w:w="2986" w:type="dxa"/>
            <w:gridSpan w:val="12"/>
            <w:tcBorders/>
          </w:tcPr>
          <w:p>
            <w:pPr>
              <w:pStyle w:val="TableContents"/>
              <w:bidi w:val="0"/>
              <w:spacing w:before="0" w:after="283"/>
              <w:jc w:val="left"/>
              <w:rPr>
                <w:sz w:val="4"/>
                <w:szCs w:val="4"/>
              </w:rPr>
            </w:pPr>
            <w:r>
              <w:rPr>
                <w:sz w:val="4"/>
                <w:szCs w:val="4"/>
              </w:rPr>
            </w:r>
          </w:p>
        </w:tc>
      </w:tr>
      <w:tr>
        <w:tc>
          <w:tcPr>
            <w:tcW w:w="114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c>
          <w:tcPr>
            <w:tcW w:w="11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c>
          <w:tcPr>
            <w:tcW w:w="11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126,932</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35,211</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2,347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575,240</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284</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60,643</w:t>
            </w:r>
            <w:r>
              <w:rPr>
                <w:color w:val="131E29"/>
              </w:rPr>
              <w:t> </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197,761</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833,929</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17,495 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9,788 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$40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(187)</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32 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(728)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(289)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(1,017)</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127,031</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35,211</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2,280</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578,256</w:t>
            </w:r>
            <w:r>
              <w:rPr>
                <w:color w:val="131E29"/>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162</w:t>
            </w:r>
            <w:r>
              <w:rPr>
                <w:color w:val="131E29"/>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78,138</w:t>
            </w:r>
            <w:r>
              <w:rPr>
                <w:color w:val="131E29"/>
              </w:rPr>
              <w:t> </w:t>
            </w:r>
          </w:p>
        </w:tc>
        <w:tc>
          <w:tcPr>
            <w:tcW w:w="1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208,472</w:t>
            </w:r>
            <w:r>
              <w:rPr>
                <w:color w:val="131E29"/>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865,029</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3220"/>
                <wp:effectExtent l="0" t="0" r="0" b="0"/>
                <wp:wrapNone/>
                <wp:docPr id="26" name="Frame1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bookmarkStart w:id="16" w:name="i-10"/>
                            <w:bookmarkEnd w:id="1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bookmarkStart w:id="17" w:name="i-10"/>
                      <w:bookmarkEnd w:id="1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tbl>
      <w:tblPr>
        <w:tblW w:w="15853" w:type="dxa"/>
        <w:jc w:val="center"/>
        <w:tblInd w:w="0" w:type="dxa"/>
        <w:tblLayout w:type="fixed"/>
        <w:tblCellMar>
          <w:top w:w="28" w:type="dxa"/>
          <w:left w:w="28" w:type="dxa"/>
          <w:bottom w:w="28" w:type="dxa"/>
          <w:right w:w="28" w:type="dxa"/>
        </w:tblCellMar>
      </w:tblPr>
      <w:tblGrid>
        <w:gridCol w:w="667"/>
        <w:gridCol w:w="296"/>
        <w:gridCol w:w="298"/>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33"/>
        <w:gridCol w:w="741"/>
        <w:gridCol w:w="187"/>
        <w:gridCol w:w="109"/>
        <w:gridCol w:w="109"/>
        <w:gridCol w:w="109"/>
        <w:gridCol w:w="225"/>
        <w:gridCol w:w="760"/>
        <w:gridCol w:w="126"/>
        <w:gridCol w:w="109"/>
        <w:gridCol w:w="109"/>
        <w:gridCol w:w="109"/>
        <w:gridCol w:w="228"/>
        <w:gridCol w:w="875"/>
        <w:gridCol w:w="128"/>
        <w:gridCol w:w="327"/>
        <w:gridCol w:w="196"/>
        <w:gridCol w:w="751"/>
        <w:gridCol w:w="154"/>
      </w:tblGrid>
      <w:t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2867" w:type="dxa"/>
            <w:gridSpan w:val="6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 2025</w:t>
            </w:r>
          </w:p>
        </w:tc>
        <w:tc>
          <w:tcPr>
            <w:tcW w:w="2986" w:type="dxa"/>
            <w:gridSpan w:val="12"/>
            <w:tcBorders/>
          </w:tcPr>
          <w:p>
            <w:pPr>
              <w:pStyle w:val="TableContents"/>
              <w:bidi w:val="0"/>
              <w:spacing w:before="0" w:after="283"/>
              <w:jc w:val="left"/>
              <w:rPr>
                <w:sz w:val="4"/>
                <w:szCs w:val="4"/>
              </w:rPr>
            </w:pPr>
            <w:r>
              <w:rPr>
                <w:sz w:val="4"/>
                <w:szCs w:val="4"/>
              </w:rPr>
            </w:r>
          </w:p>
        </w:tc>
      </w:tr>
      <w:tr>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115,432</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35,227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3,545</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517,074</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628</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19,666</w:t>
            </w:r>
            <w:r>
              <w:rPr>
                <w:color w:val="131E29"/>
              </w:rPr>
              <w:t> </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226,496</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16"/>
              </w:rPr>
              <w:t>763,865</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58,472 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29,648 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88,120 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(loss) on derivative securities, effective portion, net of income tax benefit of $187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(466)</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(311)</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(885)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9,567 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335 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(8,499)</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(3,536)</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(12,035)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11,264 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Effect of exchange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40,904 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(40,904)</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19,318 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Reverse Split transaction pursuant to OpCo Recapitalization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September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127,031</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35,211</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2,280</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578,256</w:t>
            </w:r>
            <w:r>
              <w:rPr>
                <w:color w:val="131E29"/>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162</w:t>
            </w:r>
            <w:r>
              <w:rPr>
                <w:color w:val="131E29"/>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78,138</w:t>
            </w:r>
            <w:r>
              <w:rPr>
                <w:color w:val="131E29"/>
              </w:rPr>
              <w:t> </w:t>
            </w:r>
          </w:p>
        </w:tc>
        <w:tc>
          <w:tcPr>
            <w:tcW w:w="1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208,472</w:t>
            </w:r>
            <w:r>
              <w:rPr>
                <w:color w:val="131E29"/>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16"/>
              </w:rPr>
              <w:t>865,029</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3220"/>
                <wp:effectExtent l="0" t="0" r="0" b="0"/>
                <wp:wrapNone/>
                <wp:docPr id="29" name="Frame1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bookmarkStart w:id="18" w:name="i-11"/>
                            <w:bookmarkEnd w:id="1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bookmarkStart w:id="19" w:name="i-11"/>
                      <w:bookmarkEnd w:id="1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before="0" w:after="60"/>
        <w:jc w:val="center"/>
      </w:p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18"/>
        </w:rPr>
      </w:pPr>
      <w:r>
        <w:rPr>
          <w:rFonts w:ascii="Arial;sans-serif" w:hAnsi="Arial;sans-serif"/>
          <w:b w:val="false"/>
          <w:color w:val="131E29"/>
          <w:sz w:val="18"/>
        </w:rPr>
        <w:t>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381"/>
        <w:gridCol w:w="2089"/>
        <w:gridCol w:w="2103"/>
        <w:gridCol w:w="109"/>
        <w:gridCol w:w="109"/>
        <w:gridCol w:w="109"/>
        <w:gridCol w:w="241"/>
        <w:gridCol w:w="966"/>
        <w:gridCol w:w="124"/>
        <w:gridCol w:w="124"/>
        <w:gridCol w:w="124"/>
        <w:gridCol w:w="124"/>
        <w:gridCol w:w="241"/>
        <w:gridCol w:w="966"/>
        <w:gridCol w:w="124"/>
        <w:gridCol w:w="109"/>
        <w:gridCol w:w="162"/>
      </w:tblGrid>
      <w:tr>
        <w:tc>
          <w:tcPr>
            <w:tcW w:w="2381"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c>
          <w:tcPr>
            <w:tcW w:w="65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112,497 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88,120 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Adjustments to reconcile net income to 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113,076 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83,389 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370 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635 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(Gain) 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Loss on extinguishment of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809 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19,112 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13,513 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22,801 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14,649 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22,629 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14,959 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Changes in operating assets and liabilities, net of acquisitions: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2,619 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(3,705)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6,916 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(8,807)</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(598)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2,800 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954 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(9,541)</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7,035 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1,131 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16,905 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18,603 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(7,391)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1,827 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(19,802)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(2,583)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297,033 </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215,906 </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(214,577)</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(169,967)</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Escrow deposit for potential acquisition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(10,000)</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(83,330)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(307,859)</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(169,936)</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(13,621)</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(11,266)</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250,000 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(2,910)</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(285,716)</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(1,547)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(7,392)</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(12,035)</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(26,096)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(6,867)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under tax receivable agreements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(13,953)</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(4,698)</w:t>
            </w:r>
          </w:p>
        </w:tc>
        <w:tc>
          <w:tcPr>
            <w:tcW w:w="1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(63,972)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(72,129)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decrease in 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(74,798)</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(26,159)</w:t>
            </w:r>
          </w:p>
        </w:tc>
        <w:tc>
          <w:tcPr>
            <w:tcW w:w="12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269,404 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293,354 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5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and cash equivalents,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8"/>
              </w:rPr>
            </w:pPr>
            <w:r>
              <w:rPr>
                <w:rFonts w:ascii="Arial;sans-serif" w:hAnsi="Arial;sans-serif"/>
                <w:b/>
                <w:color w:val="006098"/>
                <w:sz w:val="18"/>
              </w:rPr>
              <w:t>$</w:t>
            </w:r>
          </w:p>
        </w:tc>
        <w:tc>
          <w:tcPr>
            <w:tcW w:w="9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18"/>
              </w:rPr>
              <w:t>194,606</w:t>
            </w:r>
            <w:r>
              <w:rPr>
                <w:color w:val="006098"/>
              </w:rPr>
              <w:t> </w:t>
            </w:r>
          </w:p>
        </w:tc>
        <w:tc>
          <w:tcPr>
            <w:tcW w:w="1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18"/>
              </w:rPr>
            </w:pPr>
            <w:r>
              <w:rPr>
                <w:rFonts w:ascii="Arial;sans-serif" w:hAnsi="Arial;sans-serif"/>
                <w:b/>
                <w:color w:val="131E29"/>
                <w:sz w:val="18"/>
              </w:rPr>
              <w:t>$</w:t>
            </w:r>
          </w:p>
        </w:tc>
        <w:tc>
          <w:tcPr>
            <w:tcW w:w="9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18"/>
              </w:rPr>
              <w:t>267,195</w:t>
            </w:r>
            <w:r>
              <w:rPr>
                <w:color w:val="131E29"/>
              </w:rPr>
              <w:t> </w:t>
            </w:r>
          </w:p>
        </w:tc>
        <w:tc>
          <w:tcPr>
            <w:tcW w:w="1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63220"/>
                <wp:effectExtent l="0" t="0" r="0" b="0"/>
                <wp:wrapNone/>
                <wp:docPr id="32" name="Frame1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bookmarkStart w:id="20" w:name="i-12"/>
                            <w:bookmarkEnd w:id="2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bookmarkStart w:id="21" w:name="i-12"/>
                      <w:bookmarkEnd w:id="2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 (continued)</w:t>
      </w:r>
    </w:p>
    <w:tbl>
      <w:tblPr>
        <w:tblW w:w="10048" w:type="dxa"/>
        <w:jc w:val="center"/>
        <w:tblInd w:w="0" w:type="dxa"/>
        <w:tblLayout w:type="fixed"/>
        <w:tblCellMar>
          <w:top w:w="28" w:type="dxa"/>
          <w:left w:w="28" w:type="dxa"/>
          <w:bottom w:w="28" w:type="dxa"/>
          <w:right w:w="28" w:type="dxa"/>
        </w:tblCellMar>
      </w:tblPr>
      <w:tblGrid>
        <w:gridCol w:w="2322"/>
        <w:gridCol w:w="2042"/>
        <w:gridCol w:w="2055"/>
        <w:gridCol w:w="109"/>
        <w:gridCol w:w="109"/>
        <w:gridCol w:w="109"/>
        <w:gridCol w:w="266"/>
        <w:gridCol w:w="911"/>
        <w:gridCol w:w="137"/>
        <w:gridCol w:w="137"/>
        <w:gridCol w:w="137"/>
        <w:gridCol w:w="137"/>
        <w:gridCol w:w="266"/>
        <w:gridCol w:w="911"/>
        <w:gridCol w:w="137"/>
        <w:gridCol w:w="109"/>
        <w:gridCol w:w="154"/>
      </w:tblGrid>
      <w:tr>
        <w:tc>
          <w:tcPr>
            <w:tcW w:w="232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6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4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Interest paid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91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27,062 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91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29,196 </w:t>
            </w:r>
          </w:p>
        </w:tc>
        <w:tc>
          <w:tcPr>
            <w:tcW w:w="1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and equipment recorded as liabilities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19,782 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19,180 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3220"/>
                <wp:effectExtent l="0" t="0" r="0" b="0"/>
                <wp:wrapNone/>
                <wp:docPr id="35" name="Frame1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bookmarkStart w:id="22" w:name="i-13"/>
                            <w:bookmarkEnd w:id="2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bookmarkStart w:id="23" w:name="i-13"/>
                      <w:bookmarkEnd w:id="2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Condensed Consolidated Financial Statements</w:t>
      </w:r>
    </w:p>
    <w:tbl>
      <w:tblPr>
        <w:tblW w:w="8217" w:type="dxa"/>
        <w:jc w:val="left"/>
        <w:tblInd w:w="0" w:type="dxa"/>
        <w:tblLayout w:type="fixed"/>
        <w:tblCellMar>
          <w:top w:w="28" w:type="dxa"/>
          <w:left w:w="28" w:type="dxa"/>
          <w:bottom w:w="28" w:type="dxa"/>
          <w:right w:w="28" w:type="dxa"/>
        </w:tblCellMar>
      </w:tblPr>
      <w:tblGrid>
        <w:gridCol w:w="2631"/>
        <w:gridCol w:w="2309"/>
        <w:gridCol w:w="2334"/>
        <w:gridCol w:w="109"/>
        <w:gridCol w:w="109"/>
        <w:gridCol w:w="109"/>
        <w:gridCol w:w="180"/>
        <w:gridCol w:w="180"/>
        <w:gridCol w:w="256"/>
      </w:tblGrid>
      <w:t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Page</w:t>
            </w:r>
          </w:p>
        </w:tc>
      </w:tr>
      <w:tr>
        <w:tc>
          <w:tcPr>
            <w:tcW w:w="7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85">
              <w:r>
                <w:rPr>
                  <w:rStyle w:val="InternetLink"/>
                  <w:rFonts w:ascii="Arial;sans-serif" w:hAnsi="Arial;sans-serif"/>
                  <w:b w:val="false"/>
                  <w:strike w:val="false"/>
                  <w:dstrike w:val="false"/>
                  <w:color w:val="131E29"/>
                  <w:sz w:val="20"/>
                  <w:u w:val="none"/>
                  <w:effect w:val="none"/>
                </w:rPr>
                <w:t>13</w:t>
              </w:r>
            </w:hyperlink>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100">
              <w:r>
                <w:rPr>
                  <w:rStyle w:val="InternetLink"/>
                  <w:rFonts w:ascii="Arial;sans-serif" w:hAnsi="Arial;sans-serif"/>
                  <w:b w:val="false"/>
                  <w:strike w:val="false"/>
                  <w:dstrike w:val="false"/>
                  <w:color w:val="131E29"/>
                  <w:sz w:val="20"/>
                  <w:u w:val="none"/>
                  <w:effect w:val="none"/>
                </w:rPr>
                <w:t>13</w:t>
              </w:r>
            </w:hyperlink>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220">
              <w:r>
                <w:rPr>
                  <w:rStyle w:val="InternetLink"/>
                  <w:rFonts w:ascii="Arial;sans-serif" w:hAnsi="Arial;sans-serif"/>
                  <w:b w:val="false"/>
                  <w:strike w:val="false"/>
                  <w:dstrike w:val="false"/>
                  <w:color w:val="131E29"/>
                  <w:sz w:val="20"/>
                  <w:u w:val="none"/>
                  <w:effect w:val="none"/>
                </w:rPr>
                <w:t>15</w:t>
              </w:r>
            </w:hyperlink>
          </w:p>
        </w:tc>
      </w:tr>
      <w:t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247">
              <w:r>
                <w:rPr>
                  <w:rStyle w:val="InternetLink"/>
                  <w:rFonts w:ascii="Arial;sans-serif" w:hAnsi="Arial;sans-serif"/>
                  <w:b w:val="false"/>
                  <w:strike w:val="false"/>
                  <w:dstrike w:val="false"/>
                  <w:color w:val="131E29"/>
                  <w:sz w:val="20"/>
                  <w:u w:val="none"/>
                  <w:effect w:val="none"/>
                </w:rPr>
                <w:t>15</w:t>
              </w:r>
            </w:hyperlink>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Supplemental Financial Information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262">
              <w:r>
                <w:rPr>
                  <w:rStyle w:val="InternetLink"/>
                  <w:rFonts w:ascii="Arial;sans-serif" w:hAnsi="Arial;sans-serif"/>
                  <w:b w:val="false"/>
                  <w:strike w:val="false"/>
                  <w:dstrike w:val="false"/>
                  <w:color w:val="131E29"/>
                  <w:sz w:val="20"/>
                  <w:u w:val="none"/>
                  <w:effect w:val="none"/>
                </w:rPr>
                <w:t>17</w:t>
              </w:r>
            </w:hyperlink>
          </w:p>
        </w:tc>
      </w:tr>
      <w:t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271">
              <w:r>
                <w:rPr>
                  <w:rStyle w:val="InternetLink"/>
                  <w:rFonts w:ascii="Arial;sans-serif" w:hAnsi="Arial;sans-serif"/>
                  <w:b w:val="false"/>
                  <w:strike w:val="false"/>
                  <w:dstrike w:val="false"/>
                  <w:color w:val="131E29"/>
                  <w:sz w:val="20"/>
                  <w:u w:val="none"/>
                  <w:effect w:val="none"/>
                </w:rPr>
                <w:t>17</w:t>
              </w:r>
            </w:hyperlink>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274">
              <w:r>
                <w:rPr>
                  <w:rStyle w:val="InternetLink"/>
                  <w:rFonts w:ascii="Arial;sans-serif" w:hAnsi="Arial;sans-serif"/>
                  <w:b w:val="false"/>
                  <w:strike w:val="false"/>
                  <w:dstrike w:val="false"/>
                  <w:color w:val="131E29"/>
                  <w:sz w:val="20"/>
                  <w:u w:val="none"/>
                  <w:effect w:val="none"/>
                </w:rPr>
                <w:t>18</w:t>
              </w:r>
            </w:hyperlink>
          </w:p>
        </w:tc>
      </w:tr>
      <w:t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283">
              <w:r>
                <w:rPr>
                  <w:rStyle w:val="InternetLink"/>
                  <w:rFonts w:ascii="Arial;sans-serif" w:hAnsi="Arial;sans-serif"/>
                  <w:b w:val="false"/>
                  <w:strike w:val="false"/>
                  <w:dstrike w:val="false"/>
                  <w:color w:val="131E29"/>
                  <w:sz w:val="20"/>
                  <w:u w:val="none"/>
                  <w:effect w:val="none"/>
                </w:rPr>
                <w:t>18</w:t>
              </w:r>
            </w:hyperlink>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01">
              <w:r>
                <w:rPr>
                  <w:rStyle w:val="InternetLink"/>
                  <w:rFonts w:ascii="Arial;sans-serif" w:hAnsi="Arial;sans-serif"/>
                  <w:b w:val="false"/>
                  <w:strike w:val="false"/>
                  <w:dstrike w:val="false"/>
                  <w:color w:val="131E29"/>
                  <w:sz w:val="20"/>
                  <w:u w:val="none"/>
                  <w:effect w:val="none"/>
                </w:rPr>
                <w:t>20</w:t>
              </w:r>
            </w:hyperlink>
          </w:p>
        </w:tc>
      </w:tr>
      <w:t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Derivative Financial Instrument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16">
              <w:r>
                <w:rPr>
                  <w:rStyle w:val="InternetLink"/>
                  <w:rFonts w:ascii="Arial;sans-serif" w:hAnsi="Arial;sans-serif"/>
                  <w:b w:val="false"/>
                  <w:strike w:val="false"/>
                  <w:dstrike w:val="false"/>
                  <w:color w:val="131E29"/>
                  <w:sz w:val="20"/>
                  <w:u w:val="none"/>
                  <w:effect w:val="none"/>
                </w:rPr>
                <w:t>21</w:t>
              </w:r>
            </w:hyperlink>
          </w:p>
        </w:tc>
      </w:tr>
      <w:t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37">
              <w:r>
                <w:rPr>
                  <w:rStyle w:val="InternetLink"/>
                  <w:rFonts w:ascii="Arial;sans-serif" w:hAnsi="Arial;sans-serif"/>
                  <w:b w:val="false"/>
                  <w:strike w:val="false"/>
                  <w:dstrike w:val="false"/>
                  <w:color w:val="131E29"/>
                  <w:sz w:val="20"/>
                  <w:u w:val="none"/>
                  <w:effect w:val="none"/>
                </w:rPr>
                <w:t>22</w:t>
              </w:r>
            </w:hyperlink>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58">
              <w:r>
                <w:rPr>
                  <w:rStyle w:val="InternetLink"/>
                  <w:rFonts w:ascii="Arial;sans-serif" w:hAnsi="Arial;sans-serif"/>
                  <w:b w:val="false"/>
                  <w:strike w:val="false"/>
                  <w:dstrike w:val="false"/>
                  <w:color w:val="131E29"/>
                  <w:sz w:val="20"/>
                  <w:u w:val="none"/>
                  <w:effect w:val="none"/>
                </w:rPr>
                <w:t>24</w:t>
              </w:r>
            </w:hyperlink>
          </w:p>
        </w:tc>
      </w:tr>
      <w:t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85">
              <w:r>
                <w:rPr>
                  <w:rStyle w:val="InternetLink"/>
                  <w:rFonts w:ascii="Arial;sans-serif" w:hAnsi="Arial;sans-serif"/>
                  <w:b w:val="false"/>
                  <w:strike w:val="false"/>
                  <w:dstrike w:val="false"/>
                  <w:color w:val="131E29"/>
                  <w:sz w:val="20"/>
                  <w:u w:val="none"/>
                  <w:effect w:val="none"/>
                </w:rPr>
                <w:t>25</w:t>
              </w:r>
            </w:hyperlink>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397">
              <w:r>
                <w:rPr>
                  <w:rStyle w:val="InternetLink"/>
                  <w:rFonts w:ascii="Arial;sans-serif" w:hAnsi="Arial;sans-serif"/>
                  <w:b w:val="false"/>
                  <w:strike w:val="false"/>
                  <w:dstrike w:val="false"/>
                  <w:color w:val="131E29"/>
                  <w:sz w:val="20"/>
                  <w:u w:val="none"/>
                  <w:effect w:val="none"/>
                </w:rPr>
                <w:t>27</w:t>
              </w:r>
            </w:hyperlink>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Commitments and Contingencies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406">
              <w:r>
                <w:rPr>
                  <w:rStyle w:val="InternetLink"/>
                  <w:rFonts w:ascii="Arial;sans-serif" w:hAnsi="Arial;sans-serif"/>
                  <w:b w:val="false"/>
                  <w:strike w:val="false"/>
                  <w:dstrike w:val="false"/>
                  <w:color w:val="131E29"/>
                  <w:sz w:val="20"/>
                  <w:u w:val="none"/>
                  <w:effect w:val="none"/>
                </w:rPr>
                <w:t>28</w:t>
              </w:r>
            </w:hyperlink>
          </w:p>
        </w:tc>
      </w:tr>
      <w:t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Related Party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412">
              <w:r>
                <w:rPr>
                  <w:rStyle w:val="InternetLink"/>
                  <w:rFonts w:ascii="Arial;sans-serif" w:hAnsi="Arial;sans-serif"/>
                  <w:b w:val="false"/>
                  <w:strike w:val="false"/>
                  <w:dstrike w:val="false"/>
                  <w:color w:val="131E29"/>
                  <w:sz w:val="20"/>
                  <w:u w:val="none"/>
                  <w:effect w:val="none"/>
                </w:rPr>
                <w:t>29</w:t>
              </w:r>
            </w:hyperlink>
          </w:p>
        </w:tc>
      </w:tr>
      <w:t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Segment Reporting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418">
              <w:r>
                <w:rPr>
                  <w:rStyle w:val="InternetLink"/>
                  <w:rFonts w:ascii="Arial;sans-serif" w:hAnsi="Arial;sans-serif"/>
                  <w:b w:val="false"/>
                  <w:strike w:val="false"/>
                  <w:dstrike w:val="false"/>
                  <w:color w:val="131E29"/>
                  <w:sz w:val="20"/>
                  <w:u w:val="none"/>
                  <w:effect w:val="none"/>
                </w:rPr>
                <w:t>30</w:t>
              </w:r>
            </w:hyperlink>
          </w:p>
        </w:tc>
      </w:tr>
      <w:t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63220"/>
                <wp:effectExtent l="0" t="0" r="0" b="0"/>
                <wp:wrapNone/>
                <wp:docPr id="38" name="Frame1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bookmarkStart w:id="24" w:name="i-14"/>
                            <w:bookmarkEnd w:id="2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bookmarkStart w:id="25" w:name="i-14"/>
                      <w:bookmarkEnd w:id="2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w10:wrap type="none"/>
              </v:rect>
            </w:pict>
          </mc:Fallback>
        </mc:AlternateContent>
      </w:r>
    </w:p>
    <w:p>
      <w:pPr>
        <w:pStyle w:val="TextBody"/>
        <w:bidi w:val="0"/>
        <w:spacing w:lineRule="auto" w:line="288" w:before="0" w:after="180"/>
        <w:jc w:val="left"/>
      </w:pPr>
      <w:hyperlink w:anchor="i14cd05f6fb404a99b00a75d57d7c96da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Condensed Consolidated Financial Statements (Unaudited)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 — Organization and Background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a Delaware corporation, together with its subsidiaries (the Company, we, us, or our, collectively) operates and franchises drive-thru shops as well as sells and distributes coffee, coffee-related products, and accessories. As of September 30, 2026, there were 1,273 shops in operation in 27 U.S. states, of which 960 were company-operated and 313 were franchised.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Organization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 As of September 30, 2026, Dutch Bros Inc. held 100.0% of the voting interest and 77.6% of the economic interest of Dutch Bros OpCo. The Continuing Members held no voting interest and the remaining 22.4% of the economic interest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Financial Statements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condensed consolidated financial statements as of September 30, 2026 and for the three and nine months ended September 30, 2026 and 2025 have been prepared in accordance with GAAP and pursuant to the rules and regulations of the SEC, consistent in all material respects with those applied in the 2025 Form 10-K and as updated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made estimates and judgments affecting the amounts reported in our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2025 Form 10-K that includes additional information on accounting estimates, policies, and the methods and assumptions used in our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opinion of management, the accompanying condensed consolidated financial statements reflect all adjustments, consisting of normal recurring adjustments, necessary to present fairly our consolidated financial statements for the periods presented. Operating results for the three and nine months ended September 30, 2026 are not necessarily indicative of the results that may be expected for the fiscal year ending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Significant Accounting Policies Updates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Except for the items noted below, there have been no material updates to our significant accounting policies during the nine months ended September 30, 2026 from those previously reported in the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Business Combinations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allocate the purchase price paid for acquired assets and liabilities acquired in connection with an acquisition based on the estimated fair value at the time of acquisition. This allocation involves a number of assumptions, estimates, and judgments in determining the fair value. In making these determinations, we may use the assistance of an independent third party valuation specialist.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63220"/>
                <wp:effectExtent l="0" t="0" r="0" b="0"/>
                <wp:wrapNone/>
                <wp:docPr id="41" name="Frame1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bookmarkStart w:id="26" w:name="i-15"/>
                            <w:bookmarkEnd w:id="2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bookmarkStart w:id="27" w:name="i-15"/>
                      <w:bookmarkEnd w:id="2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Goodwill, if any, is measured as the excess of the purchase price paid over the net of the acquisition date fair values of assets acquired and liabilities assumed. Additional information may become known during the remainder of the measurement period, not to exceed 12 months from the acquisition date, which may result in changes to the amounts and allocations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Deferred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Deferred revenue primarily consists of the unredeemed gift card liability and unredeemed points/rewards earned by customers in connection with a qualifying purchase under our Dutch Rewards loyalty program. Deferred revenue also includes bean and beverage sales to distributors where the performance obligation has not yet been satisfied as control has not transferred to the customer. Awards issued to customers independent of a purchase requirement, such as complimentary birthday drinks and other promotional awards, do not represent a contract liability, as there is no associated contract with the customer, and are recognized within cost of sales when redeemed by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Loyalty Program</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Dutch Rewards, our digital loyalty program accessible via mobile app, provides customers the opportunity to collect points based on purchases. Points can be redeemed for rewards which include free drinks. Additionally, customers can receive complimentary birthday drinks and other promotional awards within Dutch Rewards.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Points earned and not redeemed for rewards within 180 days automatically expire, and rewards that are not used within 180 days of issuance automatically expire. Separately, complimentary birthday drinks and other promotional awards generally automatically expire after 30 days, depending on the specific award.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Based on historical expiration rates, a portion of points and rewards are not expected to be redeemed. Accordingly, we defer revenue based on the estimated value of beverages for which the points and rewards are expected to be redeemed.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Recently Issued Accounting Standards</w:t>
      </w:r>
    </w:p>
    <w:p>
      <w:pPr>
        <w:pStyle w:val="TextBody"/>
        <w:bidi w:val="0"/>
        <w:spacing w:lineRule="auto" w:line="288" w:before="0" w:after="180"/>
        <w:jc w:val="both"/>
      </w:pPr>
      <w:r>
        <w:rPr>
          <w:rFonts w:ascii="Arial;sans-serif" w:hAnsi="Arial;sans-serif"/>
          <w:b w:val="false"/>
          <w:color w:val="131E29"/>
          <w:sz w:val="20"/>
        </w:rPr>
        <w:t xml:space="preserve">In September 2025, the FASB issued ASU 2025-06, </w:t>
      </w:r>
      <w:r>
        <w:rPr>
          <w:rFonts w:ascii="Arial;sans-serif" w:hAnsi="Arial;sans-serif"/>
          <w:b w:val="false"/>
          <w:i/>
          <w:color w:val="131E29"/>
          <w:sz w:val="20"/>
        </w:rPr>
        <w:t>Intangibles - Goodwill and Other - Internal-Use Software (Subtopic 350-40): Targeted Improvements to the Accounting for Internal-Use Software.</w:t>
      </w:r>
      <w:r>
        <w:rPr>
          <w:color w:val="131E29"/>
        </w:rPr>
        <w:t xml:space="preserve"> </w:t>
      </w:r>
      <w:r>
        <w:rPr>
          <w:rFonts w:ascii="Arial;sans-serif" w:hAnsi="Arial;sans-serif"/>
          <w:b w:val="false"/>
          <w:color w:val="131E29"/>
          <w:sz w:val="20"/>
        </w:rPr>
        <w:t>The intent of this ASU is to address businesses’ shift from using prescriptive and sequential software development methods to using incremental and iterative development methods. The amendments in this ASU remove all references to prescriptive and sequential software development stages, and also provides criteria for when an entity is required to start capitalizing software costs. ASU 2025-06 is effective for all entities' annual reporting periods beginning after December 15, 2027, and interim periods within those annual reporting periods using a prospective transition, modified transition or retrospective transition approach. Early adoption is permitted as of the beginning of an annual reporting period. We are currently assessing potential impacts of this standard on our business processes and future disclosures.</w:t>
      </w:r>
    </w:p>
    <w:p>
      <w:pPr>
        <w:pStyle w:val="TextBody"/>
        <w:bidi w:val="0"/>
        <w:spacing w:lineRule="auto" w:line="288" w:before="0" w:after="180"/>
        <w:jc w:val="both"/>
      </w:pPr>
      <w:r>
        <w:rPr>
          <w:rFonts w:ascii="Arial;sans-serif" w:hAnsi="Arial;sans-serif"/>
          <w:b w:val="false"/>
          <w:color w:val="131E29"/>
          <w:sz w:val="20"/>
        </w:rPr>
        <w:t xml:space="preserve">In November 2024, the FASB issued ASU No. 2024-03, </w:t>
      </w:r>
      <w:r>
        <w:rPr>
          <w:rFonts w:ascii="Arial;sans-serif" w:hAnsi="Arial;sans-serif"/>
          <w:b w:val="false"/>
          <w:i/>
          <w:color w:val="131E29"/>
          <w:sz w:val="20"/>
        </w:rPr>
        <w:t xml:space="preserve">Income Statement - Reporting Comprehensive Income - Expense Disaggregation Disclosures (Subtopic 220-40). </w:t>
      </w:r>
      <w:r>
        <w:rPr>
          <w:rFonts w:ascii="Arial;sans-serif" w:hAnsi="Arial;sans-serif"/>
          <w:b w:val="false"/>
          <w:color w:val="131E29"/>
          <w:sz w:val="20"/>
        </w:rPr>
        <w:t>The intent of this ASU is to improve public entity financial footnote disclosures around types of expenses in commonly presented expense categories (i.e., cost of sales; selling, general, and administrative expense; and research and development expense).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are currently assessing potential impacts of this standard on our business processes and future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63220"/>
                <wp:effectExtent l="0" t="0" r="0" b="0"/>
                <wp:wrapNone/>
                <wp:docPr id="44" name="Frame1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bookmarkStart w:id="28" w:name="i-16"/>
                            <w:bookmarkEnd w:id="2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bookmarkStart w:id="29" w:name="i-16"/>
                      <w:bookmarkEnd w:id="2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3 —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Deferred Revenue</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Components of our deferred revenue liability are as follows:</w:t>
      </w:r>
    </w:p>
    <w:tbl>
      <w:tblPr>
        <w:tblW w:w="8355" w:type="dxa"/>
        <w:jc w:val="left"/>
        <w:tblInd w:w="0" w:type="dxa"/>
        <w:tblLayout w:type="fixed"/>
        <w:tblCellMar>
          <w:top w:w="28" w:type="dxa"/>
          <w:left w:w="28" w:type="dxa"/>
          <w:bottom w:w="28" w:type="dxa"/>
          <w:right w:w="28" w:type="dxa"/>
        </w:tblCellMar>
      </w:tblPr>
      <w:tblGrid>
        <w:gridCol w:w="1332"/>
        <w:gridCol w:w="1169"/>
        <w:gridCol w:w="1174"/>
        <w:gridCol w:w="109"/>
        <w:gridCol w:w="109"/>
        <w:gridCol w:w="109"/>
        <w:gridCol w:w="376"/>
        <w:gridCol w:w="1346"/>
        <w:gridCol w:w="197"/>
        <w:gridCol w:w="109"/>
        <w:gridCol w:w="109"/>
        <w:gridCol w:w="109"/>
        <w:gridCol w:w="363"/>
        <w:gridCol w:w="1294"/>
        <w:gridCol w:w="187"/>
        <w:gridCol w:w="109"/>
        <w:gridCol w:w="154"/>
      </w:tblGrid>
      <w:t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55,999 </w:t>
            </w:r>
          </w:p>
        </w:tc>
        <w:tc>
          <w:tcPr>
            <w:tcW w:w="19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62,014 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Initial unearned franchise fees and other</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59,001</w:t>
            </w:r>
            <w:r>
              <w:rPr>
                <w:color w:val="006098"/>
              </w:rPr>
              <w:t> </w:t>
            </w:r>
          </w:p>
        </w:tc>
        <w:tc>
          <w:tcPr>
            <w:tcW w:w="1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64,576</w:t>
            </w:r>
            <w:r>
              <w:rPr>
                <w:color w:val="131E29"/>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pPr>
      <w:r>
        <w:rPr>
          <w:rFonts w:ascii="Arial;sans-serif" w:hAnsi="Arial;sans-serif"/>
          <w:b w:val="false"/>
          <w:color w:val="000000"/>
          <w:sz w:val="10"/>
        </w:rPr>
        <w:t>1    </w:t>
      </w:r>
      <w:r>
        <w:rPr>
          <w:rFonts w:ascii="Arial;sans-serif" w:hAnsi="Arial;sans-serif"/>
          <w:b w:val="false"/>
          <w:color w:val="000000"/>
          <w:sz w:val="16"/>
        </w:rPr>
        <w:t>Initial unearned franchise fees are recorded as a contract liability, and revenue is recognized ratably over the term of the franchise agreement, which is generally ten years.</w:t>
      </w:r>
    </w:p>
    <w:p>
      <w:pPr>
        <w:pStyle w:val="TextBody"/>
        <w:bidi w:val="0"/>
        <w:spacing w:before="0" w:after="60"/>
        <w:jc w:val="left"/>
      </w:pPr>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Deferred revenue activity was as follows:</w:t>
      </w:r>
    </w:p>
    <w:tbl>
      <w:tblPr>
        <w:tblW w:w="7494" w:type="dxa"/>
        <w:jc w:val="left"/>
        <w:tblInd w:w="0" w:type="dxa"/>
        <w:tblLayout w:type="fixed"/>
        <w:tblCellMar>
          <w:top w:w="28" w:type="dxa"/>
          <w:left w:w="28" w:type="dxa"/>
          <w:bottom w:w="28" w:type="dxa"/>
          <w:right w:w="28" w:type="dxa"/>
        </w:tblCellMar>
      </w:tblPr>
      <w:tblGrid>
        <w:gridCol w:w="1376"/>
        <w:gridCol w:w="1207"/>
        <w:gridCol w:w="1212"/>
        <w:gridCol w:w="109"/>
        <w:gridCol w:w="109"/>
        <w:gridCol w:w="109"/>
        <w:gridCol w:w="283"/>
        <w:gridCol w:w="1008"/>
        <w:gridCol w:w="146"/>
        <w:gridCol w:w="146"/>
        <w:gridCol w:w="146"/>
        <w:gridCol w:w="146"/>
        <w:gridCol w:w="283"/>
        <w:gridCol w:w="1008"/>
        <w:gridCol w:w="206"/>
      </w:tblGrid>
      <w:t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r>
      <w:t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3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pPr>
            <w:r>
              <w:rPr>
                <w:rFonts w:ascii="Arial;sans-serif" w:hAnsi="Arial;sans-serif"/>
                <w:b/>
                <w:color w:val="131E29"/>
                <w:sz w:val="20"/>
              </w:rPr>
              <w:t xml:space="preserve">2025 </w:t>
            </w:r>
            <w:r>
              <w:rPr>
                <w:rFonts w:ascii="Arial;sans-serif" w:hAnsi="Arial;sans-serif"/>
                <w:b/>
                <w:color w:val="131E29"/>
                <w:sz w:val="13"/>
              </w:rPr>
              <w:t>3</w:t>
            </w:r>
          </w:p>
        </w:tc>
      </w:tr>
      <w:tr>
        <w:tc>
          <w:tcPr>
            <w:tcW w:w="37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0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64,576</w:t>
            </w:r>
            <w:r>
              <w:rPr>
                <w:color w:val="006098"/>
              </w:rPr>
              <w:t> </w:t>
            </w:r>
          </w:p>
        </w:tc>
        <w:tc>
          <w:tcPr>
            <w:tcW w:w="14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0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50,883</w:t>
            </w:r>
            <w:r>
              <w:rPr>
                <w:color w:val="131E29"/>
              </w:rPr>
              <w:t> </w:t>
            </w:r>
          </w:p>
        </w:tc>
        <w:tc>
          <w:tcPr>
            <w:tcW w:w="20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Revenue deferred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352,102 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405,087 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Revenue recognized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(357,425)</w:t>
            </w:r>
          </w:p>
        </w:tc>
        <w:tc>
          <w:tcPr>
            <w:tcW w:w="14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(403,126)</w:t>
            </w:r>
          </w:p>
        </w:tc>
        <w:tc>
          <w:tcPr>
            <w:tcW w:w="20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Other deferred revenue,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59,001</w:t>
            </w:r>
            <w:r>
              <w:rPr>
                <w:color w:val="006098"/>
              </w:rPr>
              <w:t> </w:t>
            </w:r>
          </w:p>
        </w:tc>
        <w:tc>
          <w:tcPr>
            <w:tcW w:w="14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52,710</w:t>
            </w:r>
            <w:r>
              <w:rPr>
                <w:color w:val="131E29"/>
              </w:rPr>
              <w:t> </w:t>
            </w:r>
          </w:p>
        </w:tc>
        <w:tc>
          <w:tcPr>
            <w:tcW w:w="20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(45,606)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Deferred revenue,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0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6,669</w:t>
            </w:r>
            <w:r>
              <w:rPr>
                <w:color w:val="006098"/>
              </w:rPr>
              <w:t> </w:t>
            </w:r>
          </w:p>
        </w:tc>
        <w:tc>
          <w:tcPr>
            <w:tcW w:w="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0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7,104</w:t>
            </w:r>
            <w:r>
              <w:rPr>
                <w:color w:val="131E29"/>
              </w:rPr>
              <w:t> </w:t>
            </w:r>
          </w:p>
        </w:tc>
        <w:tc>
          <w:tcPr>
            <w:tcW w:w="2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0"/>
        <w:ind w:left="0" w:right="0" w:hanging="180"/>
        <w:jc w:val="both"/>
      </w:pPr>
      <w:r>
        <w:rPr>
          <w:rFonts w:ascii="Arial;sans-serif" w:hAnsi="Arial;sans-serif"/>
          <w:b w:val="false"/>
          <w:color w:val="000000"/>
          <w:sz w:val="10"/>
        </w:rPr>
        <w:t>1    </w:t>
      </w:r>
      <w:r>
        <w:rPr>
          <w:rFonts w:ascii="Arial;sans-serif" w:hAnsi="Arial;sans-serif"/>
          <w:b w:val="false"/>
          <w:color w:val="000000"/>
          <w:sz w:val="16"/>
        </w:rPr>
        <w:t>Revenue deferred includes gift card activations, loyalty app cash loads and loyalty points/rewards earned.</w:t>
      </w:r>
    </w:p>
    <w:p>
      <w:pPr>
        <w:pStyle w:val="TextBody"/>
        <w:bidi w:val="0"/>
        <w:spacing w:lineRule="auto" w:line="288" w:before="0" w:after="0"/>
        <w:ind w:left="0" w:right="0" w:hanging="180"/>
        <w:jc w:val="both"/>
      </w:pPr>
      <w:r>
        <w:rPr>
          <w:rFonts w:ascii="Arial;sans-serif" w:hAnsi="Arial;sans-serif"/>
          <w:b w:val="false"/>
          <w:color w:val="000000"/>
          <w:sz w:val="10"/>
        </w:rPr>
        <w:t>2    </w:t>
      </w:r>
      <w:r>
        <w:rPr>
          <w:rFonts w:ascii="Arial;sans-serif" w:hAnsi="Arial;sans-serif"/>
          <w:b w:val="false"/>
          <w:color w:val="000000"/>
          <w:sz w:val="16"/>
        </w:rPr>
        <w:t>Revenue recognized includes redemptions of gift cards, loyalty app cash loads and rewards, as well as breakage.</w:t>
      </w:r>
    </w:p>
    <w:p>
      <w:pPr>
        <w:pStyle w:val="TextBody"/>
        <w:bidi w:val="0"/>
        <w:spacing w:lineRule="auto" w:line="288" w:before="0" w:after="180"/>
        <w:ind w:left="0" w:right="0" w:hanging="180"/>
        <w:jc w:val="both"/>
      </w:pPr>
      <w:r>
        <w:rPr>
          <w:rFonts w:ascii="Arial;sans-serif" w:hAnsi="Arial;sans-serif"/>
          <w:b w:val="false"/>
          <w:color w:val="000000"/>
          <w:sz w:val="10"/>
        </w:rPr>
        <w:t>3    </w:t>
      </w:r>
      <w:r>
        <w:rPr>
          <w:rFonts w:ascii="Arial;sans-serif" w:hAnsi="Arial;sans-serif"/>
          <w:b w:val="false"/>
          <w:color w:val="000000"/>
          <w:sz w:val="16"/>
        </w:rPr>
        <w:t xml:space="preserve">Beginning in 2026, complimentary birthday drinks and other promotional awards, which are not issued in connection with a purchase, have been excluded from the population of deferred revenue activity. For the nine months ended September 30, 2025, complimentary birthday drinks and other promotional awards activity of revenue deferred and revenue recognized was approximately $79.1 million and $77.7 million, respectively. This change did not have a material effect on the ending deferred revenue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Revenue recognized during the three and nine months ended September 30, 2026 and 2025, respectively, that was included in the deferred revenue liability balances at the beginning of the period, are shown below. </w:t>
      </w:r>
    </w:p>
    <w:tbl>
      <w:tblPr>
        <w:tblW w:w="9804"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346"/>
        <w:gridCol w:w="1060"/>
        <w:gridCol w:w="178"/>
        <w:gridCol w:w="178"/>
        <w:gridCol w:w="178"/>
        <w:gridCol w:w="178"/>
        <w:gridCol w:w="346"/>
        <w:gridCol w:w="789"/>
        <w:gridCol w:w="178"/>
        <w:gridCol w:w="109"/>
        <w:gridCol w:w="109"/>
        <w:gridCol w:w="109"/>
        <w:gridCol w:w="297"/>
        <w:gridCol w:w="1058"/>
        <w:gridCol w:w="153"/>
        <w:gridCol w:w="153"/>
        <w:gridCol w:w="153"/>
        <w:gridCol w:w="153"/>
        <w:gridCol w:w="297"/>
        <w:gridCol w:w="910"/>
        <w:gridCol w:w="153"/>
        <w:gridCol w:w="109"/>
        <w:gridCol w:w="154"/>
      </w:tblGrid>
      <w:t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53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5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Gift card redemptions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1,389 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756 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5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10,029 </w:t>
            </w:r>
          </w:p>
        </w:tc>
        <w:tc>
          <w:tcPr>
            <w:tcW w:w="15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91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7,163 </w:t>
            </w:r>
          </w:p>
        </w:tc>
        <w:tc>
          <w:tcPr>
            <w:tcW w:w="15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_____________________</w:t>
      </w:r>
    </w:p>
    <w:p>
      <w:pPr>
        <w:pStyle w:val="TextBody"/>
        <w:bidi w:val="0"/>
        <w:spacing w:lineRule="auto" w:line="288" w:before="0" w:after="180"/>
        <w:ind w:left="0" w:right="0" w:hanging="180"/>
        <w:jc w:val="both"/>
      </w:pPr>
      <w:r>
        <w:rPr>
          <w:rFonts w:ascii="Arial;sans-serif" w:hAnsi="Arial;sans-serif"/>
          <w:b w:val="false"/>
          <w:color w:val="000000"/>
          <w:sz w:val="10"/>
        </w:rPr>
        <w:t>1</w:t>
      </w:r>
      <w:r>
        <w:rPr>
          <w:color w:val="000000"/>
        </w:rPr>
        <w:t>    </w:t>
      </w:r>
      <w:r>
        <w:rPr>
          <w:rFonts w:ascii="Arial;sans-serif" w:hAnsi="Arial;sans-serif"/>
          <w:b w:val="false"/>
          <w:color w:val="131E29"/>
          <w:sz w:val="16"/>
        </w:rPr>
        <w:t>Amounts exclude cash loads and customer visits related to our loyalty rewards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4 —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Asset Acquisition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January 23, 2026, we purchased certain assets of Clutch Coffee, primarily consisting of leasehold interests for $19.8 million in cash. Clutch Coffee was a regional drive-thru chain with 22 locations operating or under construction in North Carolina and South Carolina. This acquisition was accounted for as an asset acquisition in accordance with ASC 805, Business Combinations, with the purchase price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63220"/>
                <wp:effectExtent l="0" t="0" r="0" b="0"/>
                <wp:wrapNone/>
                <wp:docPr id="47" name="Frame1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bookmarkStart w:id="30" w:name="i-17"/>
                            <w:bookmarkEnd w:id="3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bookmarkStart w:id="31" w:name="i-17"/>
                      <w:bookmarkEnd w:id="3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transaction costs allocated to the assets acquired based on their relative fair value as of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Franchise Buyback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July 27, 2026, we reacquired the franchise rights and assets of 32 locations in Arizona from a franchisee for approximately $63.5 million due to the franchise owner’s decision to retire. The purchase was funded with cash on hand. The acquisition was accounted for as a business combination and the results of operations and goodwill are included in the Company-operated shops segment as of the acquisition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allocations of the purchase price to the estimated fair values of assets acquired and liabilities assumed:</w:t>
      </w:r>
    </w:p>
    <w:tbl>
      <w:tblPr>
        <w:tblW w:w="6086" w:type="dxa"/>
        <w:jc w:val="left"/>
        <w:tblInd w:w="0" w:type="dxa"/>
        <w:tblLayout w:type="fixed"/>
        <w:tblCellMar>
          <w:top w:w="28" w:type="dxa"/>
          <w:left w:w="28" w:type="dxa"/>
          <w:bottom w:w="28" w:type="dxa"/>
          <w:right w:w="28" w:type="dxa"/>
        </w:tblCellMar>
      </w:tblPr>
      <w:tblGrid>
        <w:gridCol w:w="1217"/>
        <w:gridCol w:w="1068"/>
        <w:gridCol w:w="1074"/>
        <w:gridCol w:w="109"/>
        <w:gridCol w:w="109"/>
        <w:gridCol w:w="109"/>
        <w:gridCol w:w="109"/>
        <w:gridCol w:w="109"/>
        <w:gridCol w:w="109"/>
        <w:gridCol w:w="109"/>
        <w:gridCol w:w="370"/>
        <w:gridCol w:w="1321"/>
        <w:gridCol w:w="273"/>
      </w:tblGrid>
      <w:t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c>
          <w:tcPr>
            <w:tcW w:w="3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r>
      <w:tr>
        <w:tc>
          <w:tcPr>
            <w:tcW w:w="3359"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Purchase price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63,525 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2,991 </w:t>
            </w:r>
          </w:p>
        </w:tc>
        <w:tc>
          <w:tcPr>
            <w:tcW w:w="27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 and leasehold improvements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19,566 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c>
          <w:tcPr>
            <w:tcW w:w="3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28,784 </w:t>
            </w:r>
          </w:p>
        </w:tc>
        <w:tc>
          <w:tcPr>
            <w:tcW w:w="27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Reacquired franchise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27,000 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600 </w:t>
            </w:r>
          </w:p>
        </w:tc>
        <w:tc>
          <w:tcPr>
            <w:tcW w:w="27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Deferred revenue</w:t>
            </w:r>
            <w:r>
              <w:rPr>
                <w:rFonts w:ascii="Arial;sans-serif" w:hAnsi="Arial;sans-serif"/>
                <w:b w:val="false"/>
                <w:color w:val="131E29"/>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(1,977)</w:t>
            </w:r>
          </w:p>
        </w:tc>
        <w:tc>
          <w:tcPr>
            <w:tcW w:w="27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(28,434)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48,429 </w:t>
            </w:r>
          </w:p>
        </w:tc>
        <w:tc>
          <w:tcPr>
            <w:tcW w:w="27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15,096 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Primarily relates to customers’ gift card liabilities.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Reacquired franchise rights had weighted-average useful lives of 5.4 years at the time of purchase.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excess of the purchase price over the aggregate fair value of net assets acquired was allocated to goodwill and is attributable to the benefits expected as a result of the acquisition. This transaction was treated as a taxable asset acquisition for income tax purposes. As such, the amount of goodwill recognized is expected to be fully deductible for tax purposes.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purchase price allocation as of the date of the acquisition was based on a preliminary valuation performed by third-party valuation specialists and is subject to revision within the measurement period (up to one year from the acquisition dates) as more detailed analyses are completed and additional information about the fair value of assets acquired and liabilities assumed becomes available. The primary areas that remain preliminary relate to the fair values of building and leasehold improvements purchased and franchise rights reacquired.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For the reacquired franchise shops, net incremental revenue of approximately $13.5 million and net income of approximately $1.6 million are included in our consolidated statements of operations for the period from the acquisition date through September 30, 2026.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reflects our unaudited pro forma results as if the acquisition had taken place as of January 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63220"/>
                <wp:effectExtent l="0" t="0" r="0" b="0"/>
                <wp:wrapNone/>
                <wp:docPr id="50" name="Frame1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bookmarkStart w:id="32" w:name="i-18"/>
                            <w:bookmarkEnd w:id="3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bookmarkStart w:id="33" w:name="i-18"/>
                      <w:bookmarkEnd w:id="3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tbl>
      <w:tblPr>
        <w:tblW w:w="9420"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270"/>
        <w:gridCol w:w="1097"/>
        <w:gridCol w:w="139"/>
        <w:gridCol w:w="139"/>
        <w:gridCol w:w="139"/>
        <w:gridCol w:w="139"/>
        <w:gridCol w:w="270"/>
        <w:gridCol w:w="1097"/>
        <w:gridCol w:w="139"/>
        <w:gridCol w:w="109"/>
        <w:gridCol w:w="109"/>
        <w:gridCol w:w="109"/>
        <w:gridCol w:w="233"/>
        <w:gridCol w:w="1128"/>
        <w:gridCol w:w="120"/>
        <w:gridCol w:w="120"/>
        <w:gridCol w:w="120"/>
        <w:gridCol w:w="120"/>
        <w:gridCol w:w="233"/>
        <w:gridCol w:w="1128"/>
        <w:gridCol w:w="170"/>
      </w:tblGrid>
      <w:t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9" w:type="dxa"/>
            <w:gridSpan w:val="12"/>
            <w:tcBorders/>
          </w:tcPr>
          <w:p>
            <w:pPr>
              <w:pStyle w:val="TableContents"/>
              <w:bidi w:val="0"/>
              <w:spacing w:before="0" w:after="283"/>
              <w:jc w:val="left"/>
              <w:rPr>
                <w:sz w:val="4"/>
                <w:szCs w:val="4"/>
              </w:rPr>
            </w:pPr>
            <w:r>
              <w:rPr>
                <w:sz w:val="4"/>
                <w:szCs w:val="4"/>
              </w:rPr>
            </w:r>
          </w:p>
        </w:tc>
      </w:tr>
      <w:t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r>
      <w:t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17" w:type="dxa"/>
            <w:gridSpan w:val="3"/>
            <w:tcBorders>
              <w:top w:val="single" w:sz="8"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0" w:type="dxa"/>
            <w:gridSpan w:val="3"/>
            <w:tcBorders>
              <w:top w:val="single" w:sz="8"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r>
      <w:tr>
        <w:tc>
          <w:tcPr>
            <w:tcW w:w="196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554,684 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441,818 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1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1,605,871 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1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1,248,940 </w:t>
            </w:r>
          </w:p>
        </w:tc>
        <w:tc>
          <w:tcPr>
            <w:tcW w:w="17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38,058 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29,031 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117,269 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93,182 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unaudited pro forma information has been prepared for comparative purposes only, in accordance with the acquisition method of accounting, and is not necessarily indicative of the results of operations that would have occurred if the acquisition had been completed on the date indicated, nor is it indicative of future operating results. The pro forma information includes adjustments to eliminate historical franchise-related revenues and expenses associated with the acquired shops.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Other Acquisition Activity</w:t>
      </w:r>
    </w:p>
    <w:p>
      <w:pPr>
        <w:pStyle w:val="TextBody"/>
        <w:bidi w:val="0"/>
        <w:spacing w:lineRule="auto" w:line="288" w:before="0" w:after="180"/>
        <w:jc w:val="both"/>
      </w:pPr>
      <w:r>
        <w:rPr>
          <w:rFonts w:ascii="Arial;sans-serif" w:hAnsi="Arial;sans-serif"/>
          <w:b w:val="false"/>
          <w:color w:val="131E29"/>
          <w:sz w:val="20"/>
        </w:rPr>
        <w:t>During the three months ended September 30, 2026, we entered into an agreement to acquire certain Salad and Go</w:t>
      </w:r>
      <w:r>
        <w:rPr>
          <w:rFonts w:ascii="Arial;sans-serif" w:hAnsi="Arial;sans-serif"/>
          <w:b w:val="false"/>
          <w:color w:val="131E29"/>
          <w:sz w:val="13"/>
        </w:rPr>
        <w:t>TM</w:t>
      </w:r>
      <w:r>
        <w:rPr>
          <w:color w:val="131E29"/>
        </w:rPr>
        <w:t xml:space="preserve"> </w:t>
      </w:r>
      <w:r>
        <w:rPr>
          <w:rFonts w:ascii="Arial;sans-serif" w:hAnsi="Arial;sans-serif"/>
          <w:b w:val="false"/>
          <w:color w:val="131E29"/>
          <w:sz w:val="20"/>
        </w:rPr>
        <w:t>sites pursuant to a Chapter 11 bankruptcy proceeding, and funded a $10.0 million escrow deposit. The deposit was refunded in full in the fourth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5 — Supplemental Financial Information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Inventories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 xml:space="preserve">Inventories, net consisted of the following: </w:t>
      </w:r>
    </w:p>
    <w:tbl>
      <w:tblPr>
        <w:tblW w:w="6141" w:type="dxa"/>
        <w:jc w:val="left"/>
        <w:tblInd w:w="0" w:type="dxa"/>
        <w:tblLayout w:type="fixed"/>
        <w:tblCellMar>
          <w:top w:w="28" w:type="dxa"/>
          <w:left w:w="28" w:type="dxa"/>
          <w:bottom w:w="28" w:type="dxa"/>
          <w:right w:w="28" w:type="dxa"/>
        </w:tblCellMar>
      </w:tblPr>
      <w:tblGrid>
        <w:gridCol w:w="609"/>
        <w:gridCol w:w="534"/>
        <w:gridCol w:w="536"/>
        <w:gridCol w:w="109"/>
        <w:gridCol w:w="109"/>
        <w:gridCol w:w="109"/>
        <w:gridCol w:w="376"/>
        <w:gridCol w:w="1346"/>
        <w:gridCol w:w="197"/>
        <w:gridCol w:w="109"/>
        <w:gridCol w:w="109"/>
        <w:gridCol w:w="109"/>
        <w:gridCol w:w="357"/>
        <w:gridCol w:w="1272"/>
        <w:gridCol w:w="260"/>
      </w:tblGrid>
      <w:t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c>
          <w:tcPr>
            <w:tcW w:w="167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15,833 </w:t>
            </w:r>
          </w:p>
        </w:tc>
        <w:tc>
          <w:tcPr>
            <w:tcW w:w="19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25,516 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26,168 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42,001</w:t>
            </w:r>
            <w:r>
              <w:rPr>
                <w:color w:val="006098"/>
              </w:rPr>
              <w:t> </w:t>
            </w:r>
          </w:p>
        </w:tc>
        <w:tc>
          <w:tcPr>
            <w:tcW w:w="1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48,917</w:t>
            </w:r>
            <w:r>
              <w:rPr>
                <w:color w:val="131E29"/>
              </w:rPr>
              <w:t>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Other current liabilities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current liabilities consisted of the following:</w:t>
      </w:r>
    </w:p>
    <w:tbl>
      <w:tblPr>
        <w:tblW w:w="7927" w:type="dxa"/>
        <w:jc w:val="left"/>
        <w:tblInd w:w="0" w:type="dxa"/>
        <w:tblLayout w:type="fixed"/>
        <w:tblCellMar>
          <w:top w:w="28" w:type="dxa"/>
          <w:left w:w="28" w:type="dxa"/>
          <w:bottom w:w="28" w:type="dxa"/>
          <w:right w:w="28" w:type="dxa"/>
        </w:tblCellMar>
      </w:tblPr>
      <w:tblGrid>
        <w:gridCol w:w="1255"/>
        <w:gridCol w:w="1102"/>
        <w:gridCol w:w="1107"/>
        <w:gridCol w:w="109"/>
        <w:gridCol w:w="109"/>
        <w:gridCol w:w="109"/>
        <w:gridCol w:w="344"/>
        <w:gridCol w:w="1398"/>
        <w:gridCol w:w="178"/>
        <w:gridCol w:w="109"/>
        <w:gridCol w:w="109"/>
        <w:gridCol w:w="109"/>
        <w:gridCol w:w="357"/>
        <w:gridCol w:w="1272"/>
        <w:gridCol w:w="260"/>
      </w:tblGrid>
      <w:t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c>
          <w:tcPr>
            <w:tcW w:w="346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Accrued compensation and benefits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52,780 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50,314 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Sales, use and property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19,198 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15,354 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accrued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49,544 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33,505 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121,522</w:t>
            </w:r>
            <w:r>
              <w:rPr>
                <w:color w:val="006098"/>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99,173</w:t>
            </w:r>
            <w:r>
              <w:rPr>
                <w:color w:val="131E29"/>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6 — Property and Equipment</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Property and equipment, net consisted of the following:</w:t>
      </w:r>
    </w:p>
    <w:tbl>
      <w:tblPr>
        <w:tblW w:w="9431" w:type="dxa"/>
        <w:jc w:val="left"/>
        <w:tblInd w:w="0" w:type="dxa"/>
        <w:tblLayout w:type="fixed"/>
        <w:tblCellMar>
          <w:top w:w="28" w:type="dxa"/>
          <w:left w:w="28" w:type="dxa"/>
          <w:bottom w:w="28" w:type="dxa"/>
          <w:right w:w="28" w:type="dxa"/>
        </w:tblCellMar>
      </w:tblPr>
      <w:tblGrid>
        <w:gridCol w:w="1256"/>
        <w:gridCol w:w="1101"/>
        <w:gridCol w:w="1108"/>
        <w:gridCol w:w="109"/>
        <w:gridCol w:w="109"/>
        <w:gridCol w:w="109"/>
        <w:gridCol w:w="109"/>
        <w:gridCol w:w="109"/>
        <w:gridCol w:w="376"/>
        <w:gridCol w:w="1346"/>
        <w:gridCol w:w="197"/>
        <w:gridCol w:w="109"/>
        <w:gridCol w:w="331"/>
        <w:gridCol w:w="1343"/>
        <w:gridCol w:w="171"/>
        <w:gridCol w:w="109"/>
        <w:gridCol w:w="109"/>
        <w:gridCol w:w="109"/>
        <w:gridCol w:w="211"/>
        <w:gridCol w:w="856"/>
        <w:gridCol w:w="154"/>
      </w:tblGrid>
      <w:t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1548" w:type="dxa"/>
            <w:gridSpan w:val="6"/>
            <w:tcBorders/>
          </w:tcPr>
          <w:p>
            <w:pPr>
              <w:pStyle w:val="TableContents"/>
              <w:bidi w:val="0"/>
              <w:spacing w:before="0" w:after="283"/>
              <w:jc w:val="left"/>
              <w:rPr>
                <w:sz w:val="4"/>
                <w:szCs w:val="4"/>
              </w:rPr>
            </w:pPr>
            <w:r>
              <w:rPr>
                <w:sz w:val="4"/>
                <w:szCs w:val="4"/>
              </w:rPr>
            </w:r>
          </w:p>
        </w:tc>
      </w:tr>
      <w:tr>
        <w:tc>
          <w:tcPr>
            <w:tcW w:w="346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22,032 </w:t>
            </w:r>
          </w:p>
        </w:tc>
        <w:tc>
          <w:tcPr>
            <w:tcW w:w="19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34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14,630 </w:t>
            </w:r>
          </w:p>
        </w:tc>
        <w:tc>
          <w:tcPr>
            <w:tcW w:w="1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381,513 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305,116 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 and leasehold improvements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789,167 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684,322 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c>
          <w:tcPr>
            <w:tcW w:w="346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Construction-in-progress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131,181 </w:t>
            </w:r>
          </w:p>
        </w:tc>
        <w:tc>
          <w:tcPr>
            <w:tcW w:w="1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75,225 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1,330,915 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1,086,315 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(349,125)</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(261,813)</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981,790</w:t>
            </w:r>
            <w:r>
              <w:rPr>
                <w:color w:val="006098"/>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824,502</w:t>
            </w:r>
            <w:r>
              <w:rPr>
                <w:color w:val="131E29"/>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63220"/>
                <wp:effectExtent l="0" t="0" r="0" b="0"/>
                <wp:wrapNone/>
                <wp:docPr id="53" name="Frame1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bookmarkStart w:id="34" w:name="i-19"/>
                            <w:bookmarkEnd w:id="3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bookmarkStart w:id="35" w:name="i-19"/>
                      <w:bookmarkEnd w:id="3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ind w:left="0" w:right="0" w:hanging="180"/>
        <w:jc w:val="both"/>
      </w:pPr>
      <w:r>
        <w:rPr>
          <w:rFonts w:ascii="Arial;sans-serif" w:hAnsi="Arial;sans-serif"/>
          <w:b w:val="false"/>
          <w:color w:val="131E29"/>
          <w:sz w:val="10"/>
        </w:rPr>
        <w:t>1    </w:t>
      </w:r>
      <w:r>
        <w:rPr>
          <w:rFonts w:ascii="Arial;sans-serif" w:hAnsi="Arial;sans-serif"/>
          <w:b w:val="false"/>
          <w:color w:val="131E29"/>
          <w:sz w:val="16"/>
        </w:rPr>
        <w:t>Construction-in-progress primarily consisted of construction and equipment costs for new and existing shops.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Depreciation expense included in our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1030"/>
        <w:gridCol w:w="905"/>
        <w:gridCol w:w="909"/>
        <w:gridCol w:w="109"/>
        <w:gridCol w:w="109"/>
        <w:gridCol w:w="109"/>
        <w:gridCol w:w="278"/>
        <w:gridCol w:w="993"/>
        <w:gridCol w:w="143"/>
        <w:gridCol w:w="143"/>
        <w:gridCol w:w="143"/>
        <w:gridCol w:w="143"/>
        <w:gridCol w:w="278"/>
        <w:gridCol w:w="993"/>
        <w:gridCol w:w="143"/>
        <w:gridCol w:w="109"/>
        <w:gridCol w:w="109"/>
        <w:gridCol w:w="109"/>
        <w:gridCol w:w="271"/>
        <w:gridCol w:w="967"/>
        <w:gridCol w:w="140"/>
        <w:gridCol w:w="140"/>
        <w:gridCol w:w="140"/>
        <w:gridCol w:w="140"/>
        <w:gridCol w:w="271"/>
        <w:gridCol w:w="967"/>
        <w:gridCol w:w="140"/>
        <w:gridCol w:w="109"/>
        <w:gridCol w:w="165"/>
      </w:tblGrid>
      <w:tr>
        <w:tc>
          <w:tcPr>
            <w:tcW w:w="10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4" w:type="dxa"/>
            <w:gridSpan w:val="2"/>
            <w:tcBorders/>
          </w:tcPr>
          <w:p>
            <w:pPr>
              <w:pStyle w:val="TableContents"/>
              <w:bidi w:val="0"/>
              <w:spacing w:before="0" w:after="283"/>
              <w:jc w:val="left"/>
              <w:rPr>
                <w:sz w:val="4"/>
                <w:szCs w:val="4"/>
              </w:rPr>
            </w:pPr>
            <w:r>
              <w:rPr>
                <w:sz w:val="4"/>
                <w:szCs w:val="4"/>
              </w:rPr>
            </w:r>
          </w:p>
        </w:tc>
      </w:tr>
      <w:tr>
        <w:tc>
          <w:tcPr>
            <w:tcW w:w="2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2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2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84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9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28,512 </w:t>
            </w:r>
          </w:p>
        </w:tc>
        <w:tc>
          <w:tcPr>
            <w:tcW w:w="14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20,901 </w:t>
            </w:r>
          </w:p>
        </w:tc>
        <w:tc>
          <w:tcPr>
            <w:tcW w:w="14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6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83,852 </w:t>
            </w:r>
          </w:p>
        </w:tc>
        <w:tc>
          <w:tcPr>
            <w:tcW w:w="14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96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59,808 </w:t>
            </w:r>
          </w:p>
        </w:tc>
        <w:tc>
          <w:tcPr>
            <w:tcW w:w="14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5,195 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depreciation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30,621</w:t>
            </w:r>
            <w:r>
              <w:rPr>
                <w:color w:val="006098"/>
              </w:rPr>
              <w:t> </w:t>
            </w:r>
          </w:p>
        </w:tc>
        <w:tc>
          <w:tcPr>
            <w:tcW w:w="1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21,815</w:t>
            </w:r>
            <w:r>
              <w:rPr>
                <w:color w:val="131E29"/>
              </w:rPr>
              <w:t> </w:t>
            </w:r>
          </w:p>
        </w:tc>
        <w:tc>
          <w:tcPr>
            <w:tcW w:w="1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89,047</w:t>
            </w:r>
            <w:r>
              <w:rPr>
                <w:color w:val="006098"/>
              </w:rPr>
              <w:t> </w:t>
            </w:r>
          </w:p>
        </w:tc>
        <w:tc>
          <w:tcPr>
            <w:tcW w:w="1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9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61,910</w:t>
            </w:r>
            <w:r>
              <w:rPr>
                <w:color w:val="131E29"/>
              </w:rPr>
              <w:t> </w:t>
            </w:r>
          </w:p>
        </w:tc>
        <w:tc>
          <w:tcPr>
            <w:tcW w:w="1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7 — Other Long-Term Assets</w:t>
      </w:r>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The details of other long-term assets were as follows:</w:t>
      </w:r>
    </w:p>
    <w:tbl>
      <w:tblPr>
        <w:tblW w:w="8032" w:type="dxa"/>
        <w:jc w:val="left"/>
        <w:tblInd w:w="0" w:type="dxa"/>
        <w:tblLayout w:type="fixed"/>
        <w:tblCellMar>
          <w:top w:w="28" w:type="dxa"/>
          <w:left w:w="28" w:type="dxa"/>
          <w:bottom w:w="28" w:type="dxa"/>
          <w:right w:w="28" w:type="dxa"/>
        </w:tblCellMar>
      </w:tblPr>
      <w:tblGrid>
        <w:gridCol w:w="1136"/>
        <w:gridCol w:w="996"/>
        <w:gridCol w:w="1002"/>
        <w:gridCol w:w="109"/>
        <w:gridCol w:w="109"/>
        <w:gridCol w:w="109"/>
        <w:gridCol w:w="109"/>
        <w:gridCol w:w="109"/>
        <w:gridCol w:w="109"/>
        <w:gridCol w:w="109"/>
        <w:gridCol w:w="376"/>
        <w:gridCol w:w="1346"/>
        <w:gridCol w:w="197"/>
        <w:gridCol w:w="109"/>
        <w:gridCol w:w="109"/>
        <w:gridCol w:w="109"/>
        <w:gridCol w:w="357"/>
        <w:gridCol w:w="1272"/>
        <w:gridCol w:w="260"/>
      </w:tblGrid>
      <w:t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c>
          <w:tcPr>
            <w:tcW w:w="31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Reacquired franchise rights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54,049 </w:t>
            </w:r>
          </w:p>
        </w:tc>
        <w:tc>
          <w:tcPr>
            <w:tcW w:w="19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(27,193)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(25,539)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Reacquired franchise rights,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26,856</w:t>
            </w:r>
            <w:r>
              <w:rPr>
                <w:color w:val="006098"/>
              </w:rPr>
              <w:t> </w:t>
            </w:r>
          </w:p>
        </w:tc>
        <w:tc>
          <w:tcPr>
            <w:tcW w:w="19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1,510</w:t>
            </w:r>
            <w:r>
              <w:rPr>
                <w:color w:val="131E29"/>
              </w:rPr>
              <w:t> </w:t>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Goodwill</w:t>
            </w:r>
            <w:r>
              <w:rPr>
                <w:rFonts w:ascii="Arial;sans-serif" w:hAnsi="Arial;sans-serif"/>
                <w:b w:val="false"/>
                <w:color w:val="131E29"/>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36,725 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1,394 </w:t>
            </w:r>
          </w:p>
        </w:tc>
        <w:tc>
          <w:tcPr>
            <w:tcW w:w="1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2,385 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other long-term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64,975</w:t>
            </w:r>
            <w:r>
              <w:rPr>
                <w:color w:val="006098"/>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25,524</w:t>
            </w:r>
            <w:r>
              <w:rPr>
                <w:color w:val="131E29"/>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0"/>
        <w:ind w:left="0" w:right="0" w:hanging="180"/>
        <w:jc w:val="both"/>
      </w:pPr>
      <w:r>
        <w:rPr>
          <w:rFonts w:ascii="Arial;sans-serif" w:hAnsi="Arial;sans-serif"/>
          <w:b w:val="false"/>
          <w:color w:val="000000"/>
          <w:sz w:val="10"/>
        </w:rPr>
        <w:t>1    </w:t>
      </w:r>
      <w:r>
        <w:rPr>
          <w:rFonts w:ascii="Arial;sans-serif" w:hAnsi="Arial;sans-serif"/>
          <w:b w:val="false"/>
          <w:color w:val="000000"/>
          <w:sz w:val="16"/>
        </w:rPr>
        <w:t>Weighted-average amortization periods (in years) were approximately 5.1 and 2.9 as of September 30, 2026 and December 31, 2025, respectively.</w:t>
      </w:r>
    </w:p>
    <w:p>
      <w:pPr>
        <w:pStyle w:val="TextBody"/>
        <w:bidi w:val="0"/>
        <w:spacing w:lineRule="auto" w:line="288" w:before="0" w:after="180"/>
        <w:ind w:left="0" w:right="0" w:hanging="180"/>
        <w:jc w:val="both"/>
      </w:pPr>
      <w:r>
        <w:rPr>
          <w:rFonts w:ascii="Arial;sans-serif" w:hAnsi="Arial;sans-serif"/>
          <w:b w:val="false"/>
          <w:color w:val="000000"/>
          <w:sz w:val="10"/>
        </w:rPr>
        <w:t>2    </w:t>
      </w:r>
      <w:r>
        <w:rPr>
          <w:rFonts w:ascii="Arial;sans-serif" w:hAnsi="Arial;sans-serif"/>
          <w:b w:val="false"/>
          <w:color w:val="000000"/>
          <w:sz w:val="16"/>
        </w:rPr>
        <w:t>Goodwill increased approximately $15.1 million as a result of our franchise buyback. Refer to NOTE 4 — Acquisitions for additional information.</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Amortization expense of reacquired franchise rights included in our condensed consolidated statements of operations was as follows:</w:t>
      </w:r>
    </w:p>
    <w:tbl>
      <w:tblPr>
        <w:tblW w:w="8948" w:type="dxa"/>
        <w:jc w:val="left"/>
        <w:tblInd w:w="0" w:type="dxa"/>
        <w:tblLayout w:type="fixed"/>
        <w:tblCellMar>
          <w:top w:w="28" w:type="dxa"/>
          <w:left w:w="28" w:type="dxa"/>
          <w:bottom w:w="28" w:type="dxa"/>
          <w:right w:w="28" w:type="dxa"/>
        </w:tblCellMar>
      </w:tblPr>
      <w:tblGrid>
        <w:gridCol w:w="462"/>
        <w:gridCol w:w="405"/>
        <w:gridCol w:w="407"/>
        <w:gridCol w:w="109"/>
        <w:gridCol w:w="109"/>
        <w:gridCol w:w="109"/>
        <w:gridCol w:w="346"/>
        <w:gridCol w:w="1060"/>
        <w:gridCol w:w="178"/>
        <w:gridCol w:w="178"/>
        <w:gridCol w:w="178"/>
        <w:gridCol w:w="178"/>
        <w:gridCol w:w="346"/>
        <w:gridCol w:w="789"/>
        <w:gridCol w:w="178"/>
        <w:gridCol w:w="109"/>
        <w:gridCol w:w="109"/>
        <w:gridCol w:w="109"/>
        <w:gridCol w:w="311"/>
        <w:gridCol w:w="952"/>
        <w:gridCol w:w="160"/>
        <w:gridCol w:w="160"/>
        <w:gridCol w:w="160"/>
        <w:gridCol w:w="160"/>
        <w:gridCol w:w="311"/>
        <w:gridCol w:w="952"/>
        <w:gridCol w:w="160"/>
        <w:gridCol w:w="109"/>
        <w:gridCol w:w="154"/>
      </w:tblGrid>
      <w:t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53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8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1,255 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272 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1,654 </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1,185 </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estimated future amortization expense of the reacquired franchise rights as of September 30, 2026 is as follows:</w:t>
      </w:r>
    </w:p>
    <w:tbl>
      <w:tblPr>
        <w:tblW w:w="3198"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751"/>
        <w:gridCol w:w="154"/>
      </w:tblGrid>
      <w:t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1,778 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6,092 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2,991 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Total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26,856</w:t>
            </w:r>
            <w:r>
              <w:rPr>
                <w:color w:val="006098"/>
              </w:rPr>
              <w:t> </w:t>
            </w:r>
          </w:p>
        </w:tc>
        <w:tc>
          <w:tcPr>
            <w:tcW w:w="154"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8 —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63220"/>
                <wp:effectExtent l="0" t="0" r="0" b="0"/>
                <wp:wrapNone/>
                <wp:docPr id="56" name="Frame2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bookmarkStart w:id="36" w:name="i-20"/>
                            <w:bookmarkEnd w:id="3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bookmarkStart w:id="37" w:name="i-20"/>
                      <w:bookmarkEnd w:id="3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 summary of finance and operating lease right-of-use assets and lease liabilities as of September 30, 2026 and December 31, 2025 is as follows:</w:t>
      </w:r>
    </w:p>
    <w:tbl>
      <w:tblPr>
        <w:tblW w:w="10205" w:type="dxa"/>
        <w:jc w:val="left"/>
        <w:tblInd w:w="0" w:type="dxa"/>
        <w:tblLayout w:type="fixed"/>
        <w:tblCellMar>
          <w:top w:w="28" w:type="dxa"/>
          <w:left w:w="28" w:type="dxa"/>
          <w:bottom w:w="28" w:type="dxa"/>
          <w:right w:w="28" w:type="dxa"/>
        </w:tblCellMar>
      </w:tblPr>
      <w:tblGrid>
        <w:gridCol w:w="838"/>
        <w:gridCol w:w="735"/>
        <w:gridCol w:w="742"/>
        <w:gridCol w:w="109"/>
        <w:gridCol w:w="109"/>
        <w:gridCol w:w="109"/>
        <w:gridCol w:w="1097"/>
        <w:gridCol w:w="1097"/>
        <w:gridCol w:w="1099"/>
        <w:gridCol w:w="109"/>
        <w:gridCol w:w="109"/>
        <w:gridCol w:w="109"/>
        <w:gridCol w:w="287"/>
        <w:gridCol w:w="1392"/>
        <w:gridCol w:w="148"/>
        <w:gridCol w:w="109"/>
        <w:gridCol w:w="109"/>
        <w:gridCol w:w="109"/>
        <w:gridCol w:w="307"/>
        <w:gridCol w:w="1250"/>
        <w:gridCol w:w="232"/>
      </w:tblGrid>
      <w:t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c>
          <w:tcPr>
            <w:tcW w:w="231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385,233 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406,381 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691,137 </w:t>
            </w:r>
          </w:p>
        </w:tc>
        <w:tc>
          <w:tcPr>
            <w:tcW w:w="14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448,958 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1,076,370</w:t>
            </w:r>
            <w:r>
              <w:rPr>
                <w:color w:val="006098"/>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855,339</w:t>
            </w:r>
            <w:r>
              <w:rPr>
                <w:color w:val="131E29"/>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c>
          <w:tcPr>
            <w:tcW w:w="23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2"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16,872 </w:t>
            </w:r>
          </w:p>
        </w:tc>
        <w:tc>
          <w:tcPr>
            <w:tcW w:w="14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250"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17,298 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29,208 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19,168 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Current portion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9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46,080</w:t>
            </w:r>
            <w:r>
              <w:rPr>
                <w:color w:val="006098"/>
              </w:rPr>
              <w:t> </w:t>
            </w:r>
          </w:p>
        </w:tc>
        <w:tc>
          <w:tcPr>
            <w:tcW w:w="14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5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36,466</w:t>
            </w:r>
            <w:r>
              <w:rPr>
                <w:color w:val="131E29"/>
              </w:rPr>
              <w:t>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r>
      <w:t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Non-current lease liabilities</w:t>
            </w:r>
            <w:r>
              <w:rPr>
                <w:color w:val="131E29"/>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2"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390,557 </w:t>
            </w:r>
          </w:p>
        </w:tc>
        <w:tc>
          <w:tcPr>
            <w:tcW w:w="14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250"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402,697 </w:t>
            </w:r>
          </w:p>
        </w:tc>
        <w:tc>
          <w:tcPr>
            <w:tcW w:w="23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663,788 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449,683 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9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1,054,345</w:t>
            </w:r>
            <w:r>
              <w:rPr>
                <w:color w:val="006098"/>
              </w:rPr>
              <w:t> </w:t>
            </w:r>
          </w:p>
        </w:tc>
        <w:tc>
          <w:tcPr>
            <w:tcW w:w="14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5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852,380</w:t>
            </w:r>
            <w:r>
              <w:rPr>
                <w:color w:val="131E29"/>
              </w:rPr>
              <w:t>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1,100,425 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888,846 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components of lease costs, excluding short-term lease costs and sublease income (both immaterial for the periods presented), were as follows:</w:t>
      </w:r>
    </w:p>
    <w:tbl>
      <w:tblPr>
        <w:tblW w:w="10205" w:type="dxa"/>
        <w:jc w:val="left"/>
        <w:tblInd w:w="0" w:type="dxa"/>
        <w:tblLayout w:type="fixed"/>
        <w:tblCellMar>
          <w:top w:w="28" w:type="dxa"/>
          <w:left w:w="28" w:type="dxa"/>
          <w:bottom w:w="28" w:type="dxa"/>
          <w:right w:w="28" w:type="dxa"/>
        </w:tblCellMar>
      </w:tblPr>
      <w:tblGrid>
        <w:gridCol w:w="763"/>
        <w:gridCol w:w="448"/>
        <w:gridCol w:w="450"/>
        <w:gridCol w:w="109"/>
        <w:gridCol w:w="109"/>
        <w:gridCol w:w="109"/>
        <w:gridCol w:w="643"/>
        <w:gridCol w:w="643"/>
        <w:gridCol w:w="645"/>
        <w:gridCol w:w="109"/>
        <w:gridCol w:w="109"/>
        <w:gridCol w:w="109"/>
        <w:gridCol w:w="230"/>
        <w:gridCol w:w="819"/>
        <w:gridCol w:w="118"/>
        <w:gridCol w:w="118"/>
        <w:gridCol w:w="118"/>
        <w:gridCol w:w="118"/>
        <w:gridCol w:w="230"/>
        <w:gridCol w:w="819"/>
        <w:gridCol w:w="118"/>
        <w:gridCol w:w="109"/>
        <w:gridCol w:w="109"/>
        <w:gridCol w:w="109"/>
        <w:gridCol w:w="228"/>
        <w:gridCol w:w="812"/>
        <w:gridCol w:w="117"/>
        <w:gridCol w:w="117"/>
        <w:gridCol w:w="117"/>
        <w:gridCol w:w="117"/>
        <w:gridCol w:w="228"/>
        <w:gridCol w:w="812"/>
        <w:gridCol w:w="117"/>
        <w:gridCol w:w="109"/>
        <w:gridCol w:w="170"/>
      </w:tblGrid>
      <w:tr>
        <w:tc>
          <w:tcPr>
            <w:tcW w:w="7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Statements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9" w:type="dxa"/>
            <w:gridSpan w:val="2"/>
            <w:tcBorders/>
          </w:tcPr>
          <w:p>
            <w:pPr>
              <w:pStyle w:val="TableContents"/>
              <w:bidi w:val="0"/>
              <w:spacing w:before="0" w:after="283"/>
              <w:jc w:val="left"/>
              <w:rPr>
                <w:sz w:val="4"/>
                <w:szCs w:val="4"/>
              </w:rPr>
            </w:pPr>
            <w:r>
              <w:rPr>
                <w:sz w:val="4"/>
                <w:szCs w:val="4"/>
              </w:rPr>
            </w:r>
          </w:p>
        </w:tc>
      </w:tr>
      <w:t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22,375 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20,254 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6,051 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18,333 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17,234 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13,515 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12,876 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40,708 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37,529 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Operating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17,796 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46,749 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713 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709 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2,099 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2,108 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18,509 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48,848 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31,278 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8,564 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6,977 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35,004</w:t>
            </w:r>
            <w:r>
              <w:rPr>
                <w:color w:val="006098"/>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26,988</w:t>
            </w:r>
            <w:r>
              <w:rPr>
                <w:color w:val="131E29"/>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98,120</w:t>
            </w:r>
            <w:r>
              <w:rPr>
                <w:color w:val="006098"/>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75,784</w:t>
            </w:r>
            <w:r>
              <w:rPr>
                <w:color w:val="131E29"/>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63220"/>
                <wp:effectExtent l="0" t="0" r="0" b="0"/>
                <wp:wrapNone/>
                <wp:docPr id="59" name="Frame2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bookmarkStart w:id="38" w:name="i-21"/>
                            <w:bookmarkEnd w:id="3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bookmarkStart w:id="39" w:name="i-21"/>
                      <w:bookmarkEnd w:id="3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Supplemental cash flow information related to leases is as follows for the periods presented:</w:t>
      </w:r>
    </w:p>
    <w:tbl>
      <w:tblPr>
        <w:tblW w:w="10205" w:type="dxa"/>
        <w:jc w:val="left"/>
        <w:tblInd w:w="0" w:type="dxa"/>
        <w:tblLayout w:type="fixed"/>
        <w:tblCellMar>
          <w:top w:w="28" w:type="dxa"/>
          <w:left w:w="28" w:type="dxa"/>
          <w:bottom w:w="28" w:type="dxa"/>
          <w:right w:w="28" w:type="dxa"/>
        </w:tblCellMar>
      </w:tblPr>
      <w:tblGrid>
        <w:gridCol w:w="2296"/>
        <w:gridCol w:w="2016"/>
        <w:gridCol w:w="2030"/>
        <w:gridCol w:w="109"/>
        <w:gridCol w:w="109"/>
        <w:gridCol w:w="109"/>
        <w:gridCol w:w="279"/>
        <w:gridCol w:w="995"/>
        <w:gridCol w:w="144"/>
        <w:gridCol w:w="144"/>
        <w:gridCol w:w="144"/>
        <w:gridCol w:w="144"/>
        <w:gridCol w:w="279"/>
        <w:gridCol w:w="995"/>
        <w:gridCol w:w="144"/>
        <w:gridCol w:w="109"/>
        <w:gridCol w:w="159"/>
      </w:tblGrid>
      <w:tr>
        <w:tc>
          <w:tcPr>
            <w:tcW w:w="229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8" w:type="dxa"/>
            <w:gridSpan w:val="2"/>
            <w:tcBorders/>
          </w:tcPr>
          <w:p>
            <w:pPr>
              <w:pStyle w:val="TableContents"/>
              <w:bidi w:val="0"/>
              <w:spacing w:before="0" w:after="283"/>
              <w:jc w:val="left"/>
              <w:rPr>
                <w:sz w:val="4"/>
                <w:szCs w:val="4"/>
              </w:rPr>
            </w:pPr>
            <w:r>
              <w:rPr>
                <w:sz w:val="4"/>
                <w:szCs w:val="4"/>
              </w:rPr>
            </w:r>
          </w:p>
        </w:tc>
      </w:tr>
      <w:tr>
        <w:tc>
          <w:tcPr>
            <w:tcW w:w="6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3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18,333 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17,234 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46,021 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18,904 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13,621 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11,266 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Right-of-use assets obtained in exchange for lease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34,783 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34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243,948 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110,050 </w:t>
            </w:r>
          </w:p>
        </w:tc>
        <w:tc>
          <w:tcPr>
            <w:tcW w:w="14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9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29, 2025 (the Effective Date), we amended and restated our existing $650 million senior secured credit facility with JPMorgan Chase Bank, N.A. The 2025 Credit Facility consists of a $500 million revolving credit facility and a term loan facility of up to $150 million. The 2025 Credit Facility also includes sublimits for letters of credit and swingline loans of up to $100 million and $20 million, respectively. The 2025 Credit Facility expires on May 29, 2030. Interest on borrowings under the 2025 Credit Facility is based on (i) the Alternate Base Rate plus an applicable margin, or (ii) the Term SOFR Rate plus an applicable margin (each as defined in the 2025 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pay a commitment fee on a quarterly basis, at a per annum rate of between 0.20% and 0.45%, depending on the Net Lease-Adjusted Total Leverage Ratio (as defined in the 2025 Credit Facility), based on the average daily unused portion of the revolving credit facility. These fees are recorded as interest expense on our condensed consolidated statements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2025 Credit Facility contains financial covenants that require us to not exceed a maximum Net Lease-Adjusted Total Leverage Ratio and maintain a minimum Coverage Ratio (as defined in the 2025 Credit Facility). The 2025 Credit Facility also contains certain negative covenants that, among other things, restrict our ability to incur additional debt, grant liens on assets, merge with or acquire other companies, make other investments, dispose of assets, and make restricted payments. Obligations under the 2025 Credit Facility are guaranteed by Dutch Bros OpCo and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2026, $50.0 million was outstanding on our revolving credit facility, and $430.2 million was available for borrowing, net of $19.8 million in letters of credit, and $145.3 million of principal was outstanding on the term loan facility. The revolving loan and term loan both bear interest at approximately 5.15% as of September 30, 2026, excluding any impacts from our interest rate swap. We were in compliance with our financial covenants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63220"/>
                <wp:effectExtent l="0" t="0" r="0" b="0"/>
                <wp:wrapNone/>
                <wp:docPr id="62" name="Frame2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bookmarkStart w:id="40" w:name="i-22"/>
                            <w:bookmarkEnd w:id="4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bookmarkStart w:id="41" w:name="i-22"/>
                      <w:bookmarkEnd w:id="4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Long-Term Debt</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Our long-term debt consisted of the following for the periods presented:</w:t>
      </w:r>
    </w:p>
    <w:tbl>
      <w:tblPr>
        <w:tblW w:w="8572" w:type="dxa"/>
        <w:jc w:val="left"/>
        <w:tblInd w:w="0" w:type="dxa"/>
        <w:tblLayout w:type="fixed"/>
        <w:tblCellMar>
          <w:top w:w="28" w:type="dxa"/>
          <w:left w:w="28" w:type="dxa"/>
          <w:bottom w:w="28" w:type="dxa"/>
          <w:right w:w="28" w:type="dxa"/>
        </w:tblCellMar>
      </w:tblPr>
      <w:tblGrid>
        <w:gridCol w:w="1489"/>
        <w:gridCol w:w="1306"/>
        <w:gridCol w:w="1314"/>
        <w:gridCol w:w="109"/>
        <w:gridCol w:w="109"/>
        <w:gridCol w:w="109"/>
        <w:gridCol w:w="344"/>
        <w:gridCol w:w="1398"/>
        <w:gridCol w:w="178"/>
        <w:gridCol w:w="109"/>
        <w:gridCol w:w="109"/>
        <w:gridCol w:w="109"/>
        <w:gridCol w:w="326"/>
        <w:gridCol w:w="1325"/>
        <w:gridCol w:w="238"/>
      </w:tblGrid>
      <w:t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c>
          <w:tcPr>
            <w:tcW w:w="41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 loan under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9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145,313 </w:t>
            </w:r>
          </w:p>
        </w:tc>
        <w:tc>
          <w:tcPr>
            <w:tcW w:w="17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148,125 </w:t>
            </w:r>
          </w:p>
        </w:tc>
        <w:tc>
          <w:tcPr>
            <w:tcW w:w="2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Revolving loan under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50,000 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Finance obligations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4,143 </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4,162 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199,534 </w:t>
            </w:r>
          </w:p>
        </w:tc>
        <w:tc>
          <w:tcPr>
            <w:tcW w:w="17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202,463 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(4,766)</w:t>
            </w:r>
          </w:p>
        </w:tc>
        <w:tc>
          <w:tcPr>
            <w:tcW w:w="17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(3,881)</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192,870</w:t>
            </w:r>
            <w:r>
              <w:rPr>
                <w:color w:val="006098"/>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196,295</w:t>
            </w:r>
            <w:r>
              <w:rPr>
                <w:color w:val="131E29"/>
              </w:rPr>
              <w:t>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pPr>
      <w:r>
        <w:rPr>
          <w:rFonts w:ascii="Arial;sans-serif" w:hAnsi="Arial;sans-serif"/>
          <w:b w:val="false"/>
          <w:color w:val="000000"/>
          <w:sz w:val="10"/>
        </w:rPr>
        <w:t>1    </w:t>
      </w:r>
      <w:r>
        <w:rPr>
          <w:rFonts w:ascii="Arial;sans-serif" w:hAnsi="Arial;sans-serif"/>
          <w:b w:val="false"/>
          <w:color w:val="000000"/>
          <w:sz w:val="16"/>
        </w:rPr>
        <w:t>Represents failed sale-leaseback arrangements, and also in 2025, a consideration payable associated with acquired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September 30, 2026 are as follows: </w:t>
      </w:r>
    </w:p>
    <w:tbl>
      <w:tblPr>
        <w:tblW w:w="330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856"/>
        <w:gridCol w:w="154"/>
      </w:tblGrid>
      <w:t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p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971 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p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p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7,500 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p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170,000 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p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199,534</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10 — Derivative Financial Instrument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a receive-variable (Receive Leg), pay-fixed (Pay Leg) interest rate swap with JPMorgan Chase Bank, N.A. As of September 30, 2026, the interest rate swap had a notional amount of approximately $52.5 million and hedges interest rate risk on the term loan under the 2025 Credit Facility. The interest rate swap matures on February 28, 2027, and has a fixed rate of 2.67% per annum for the Pay Leg. The variable rate on the Receive Leg of the interest rate swap is the one-month adjusted term SOFR plus an applicable margin. As of September 30, 2026, the one-month adjusted term SOFR was 3.90%.</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interest rate swap has been designated as a cash flow hedge, and as such, we record the change in fair value for the effective portion of the interest rate swap in AOCI rather than in current period earnings until the underlying hedged transaction affects earnings. As of September 30, 2026, we expect to reclassify a gain of approximately $0.3 million from AOCI to earnings within the next twelve months.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63220"/>
                <wp:effectExtent l="0" t="0" r="0" b="0"/>
                <wp:wrapNone/>
                <wp:docPr id="65" name="Frame2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bookmarkStart w:id="42" w:name="i-23"/>
                            <w:bookmarkEnd w:id="4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bookmarkStart w:id="43" w:name="i-23"/>
                      <w:bookmarkEnd w:id="4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Designated as a Level 2 instrument within the fair value hierarchy, the fair value and effect of the derivative instrument included in our condensed consolidated financial statements was as follows:</w:t>
      </w:r>
    </w:p>
    <w:tbl>
      <w:tblPr>
        <w:tblW w:w="10205" w:type="dxa"/>
        <w:jc w:val="left"/>
        <w:tblInd w:w="0" w:type="dxa"/>
        <w:tblLayout w:type="fixed"/>
        <w:tblCellMar>
          <w:top w:w="28" w:type="dxa"/>
          <w:left w:w="28" w:type="dxa"/>
          <w:bottom w:w="28" w:type="dxa"/>
          <w:right w:w="28" w:type="dxa"/>
        </w:tblCellMar>
      </w:tblPr>
      <w:tblGrid>
        <w:gridCol w:w="1267"/>
        <w:gridCol w:w="1112"/>
        <w:gridCol w:w="1104"/>
        <w:gridCol w:w="109"/>
        <w:gridCol w:w="109"/>
        <w:gridCol w:w="109"/>
        <w:gridCol w:w="894"/>
        <w:gridCol w:w="894"/>
        <w:gridCol w:w="896"/>
        <w:gridCol w:w="109"/>
        <w:gridCol w:w="109"/>
        <w:gridCol w:w="109"/>
        <w:gridCol w:w="405"/>
        <w:gridCol w:w="926"/>
        <w:gridCol w:w="210"/>
        <w:gridCol w:w="109"/>
        <w:gridCol w:w="109"/>
        <w:gridCol w:w="109"/>
        <w:gridCol w:w="376"/>
        <w:gridCol w:w="859"/>
        <w:gridCol w:w="281"/>
      </w:tblGrid>
      <w:t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c>
          <w:tcPr>
            <w:tcW w:w="3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c>
          <w:tcPr>
            <w:tcW w:w="348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36 </w:t>
            </w:r>
          </w:p>
        </w:tc>
        <w:tc>
          <w:tcPr>
            <w:tcW w:w="28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derivative instrument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317</w:t>
            </w:r>
            <w:r>
              <w:rPr>
                <w:color w:val="006098"/>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502</w:t>
            </w:r>
            <w:r>
              <w:rPr>
                <w:color w:val="131E29"/>
              </w:rPr>
              <w:t>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c>
          <w:tcPr>
            <w:tcW w:w="3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9"/>
        <w:gridCol w:w="796"/>
        <w:gridCol w:w="776"/>
        <w:gridCol w:w="109"/>
        <w:gridCol w:w="109"/>
        <w:gridCol w:w="109"/>
        <w:gridCol w:w="704"/>
        <w:gridCol w:w="630"/>
        <w:gridCol w:w="631"/>
        <w:gridCol w:w="109"/>
        <w:gridCol w:w="109"/>
        <w:gridCol w:w="109"/>
        <w:gridCol w:w="247"/>
        <w:gridCol w:w="441"/>
        <w:gridCol w:w="127"/>
        <w:gridCol w:w="127"/>
        <w:gridCol w:w="127"/>
        <w:gridCol w:w="127"/>
        <w:gridCol w:w="247"/>
        <w:gridCol w:w="441"/>
        <w:gridCol w:w="127"/>
        <w:gridCol w:w="109"/>
        <w:gridCol w:w="109"/>
        <w:gridCol w:w="109"/>
        <w:gridCol w:w="235"/>
        <w:gridCol w:w="537"/>
        <w:gridCol w:w="121"/>
        <w:gridCol w:w="121"/>
        <w:gridCol w:w="121"/>
        <w:gridCol w:w="121"/>
        <w:gridCol w:w="235"/>
        <w:gridCol w:w="555"/>
        <w:gridCol w:w="121"/>
        <w:gridCol w:w="109"/>
        <w:gridCol w:w="171"/>
      </w:tblGrid>
      <w:tr>
        <w:tc>
          <w:tcPr>
            <w:tcW w:w="12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80" w:type="dxa"/>
            <w:gridSpan w:val="2"/>
            <w:tcBorders/>
          </w:tcPr>
          <w:p>
            <w:pPr>
              <w:pStyle w:val="TableContents"/>
              <w:bidi w:val="0"/>
              <w:spacing w:before="0" w:after="283"/>
              <w:jc w:val="left"/>
              <w:rPr>
                <w:sz w:val="4"/>
                <w:szCs w:val="4"/>
              </w:rPr>
            </w:pPr>
            <w:r>
              <w:rPr>
                <w:sz w:val="4"/>
                <w:szCs w:val="4"/>
              </w:rPr>
            </w:r>
          </w:p>
        </w:tc>
      </w:tr>
      <w:tr>
        <w:tc>
          <w:tcPr>
            <w:tcW w:w="2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Financial Statements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8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(loss) recognized in 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Statements of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Reclassification from accumulated other comprehensive income to earnings for the effective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Statements of Operations - 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(158)</w:t>
            </w:r>
          </w:p>
        </w:tc>
        <w:tc>
          <w:tcPr>
            <w:tcW w:w="12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w:t>
            </w:r>
          </w:p>
        </w:tc>
        <w:tc>
          <w:tcPr>
            <w:tcW w:w="12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(481)</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(840)</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Statements of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2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11 — Income Taxes</w:t>
      </w:r>
    </w:p>
    <w:tbl>
      <w:tblPr>
        <w:tblW w:w="9565" w:type="dxa"/>
        <w:jc w:val="left"/>
        <w:tblInd w:w="0" w:type="dxa"/>
        <w:tblLayout w:type="fixed"/>
        <w:tblCellMar>
          <w:top w:w="28" w:type="dxa"/>
          <w:left w:w="28" w:type="dxa"/>
          <w:bottom w:w="28" w:type="dxa"/>
          <w:right w:w="28" w:type="dxa"/>
        </w:tblCellMar>
      </w:tblPr>
      <w:tblGrid>
        <w:gridCol w:w="685"/>
        <w:gridCol w:w="601"/>
        <w:gridCol w:w="603"/>
        <w:gridCol w:w="109"/>
        <w:gridCol w:w="109"/>
        <w:gridCol w:w="109"/>
        <w:gridCol w:w="277"/>
        <w:gridCol w:w="849"/>
        <w:gridCol w:w="376"/>
        <w:gridCol w:w="143"/>
        <w:gridCol w:w="143"/>
        <w:gridCol w:w="143"/>
        <w:gridCol w:w="277"/>
        <w:gridCol w:w="849"/>
        <w:gridCol w:w="376"/>
        <w:gridCol w:w="109"/>
        <w:gridCol w:w="109"/>
        <w:gridCol w:w="109"/>
        <w:gridCol w:w="248"/>
        <w:gridCol w:w="886"/>
        <w:gridCol w:w="337"/>
        <w:gridCol w:w="128"/>
        <w:gridCol w:w="128"/>
        <w:gridCol w:w="128"/>
        <w:gridCol w:w="248"/>
        <w:gridCol w:w="886"/>
        <w:gridCol w:w="337"/>
        <w:gridCol w:w="109"/>
        <w:gridCol w:w="154"/>
      </w:tblGrid>
      <w:t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2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8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8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4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8,807 </w:t>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4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7,661 </w:t>
            </w:r>
          </w:p>
        </w:tc>
        <w:tc>
          <w:tcPr>
            <w:tcW w:w="37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24,771 </w:t>
            </w:r>
          </w:p>
        </w:tc>
        <w:tc>
          <w:tcPr>
            <w:tcW w:w="33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16,363 </w:t>
            </w:r>
          </w:p>
        </w:tc>
        <w:tc>
          <w:tcPr>
            <w:tcW w:w="33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21.9 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18.0 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effective tax rate for the quarter ended September 30, 2026, was 19.1%, which reflects the US federal statutory rate of 21% on pre-tax income, offset with the tax benefits of federal tax credits and income attributable to non-controlling interests. The decrease in the effective tax rate from 21.9% in the same period in 2025 is primarily due to a valuation allowance increase booked in Q3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63220"/>
                <wp:effectExtent l="0" t="0" r="0" b="0"/>
                <wp:wrapNone/>
                <wp:docPr id="68" name="Frame2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bookmarkStart w:id="44" w:name="i-24"/>
                            <w:bookmarkEnd w:id="4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bookmarkStart w:id="45" w:name="i-24"/>
                      <w:bookmarkEnd w:id="4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effective tax rate for the nine months ended September 30, 2026, was 18.0%, which reflects the US federal statutory rate of 21% on pre-tax income, increased by the impact of state income taxes, offset with the tax benefits of federal tax credits, income attributable to non-controlling interests, and stock compensation windfall benefits realized during the quarter. The increase in the effective tax rate from 15.7% in the same period in 2025 is due to a decrease in the benefit of stock compensation in 2026 compared to 2025, as well as an increase in our ownership interest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our IPO, we executed two TRAs which require payment to certain Dutch Bros OpCo owners of 85% of the income tax benefits, if any, that we actually realize or in some cases are deemed to realize (calculated using certain assumptions) as a result of certain tax attributes and benefits covered by the TRAs.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TRAs-related liabilities are classified on our condensed consolidated balance sheets as current or non-current based on the expected date of payment under the captions “Current portion of tax receivable agreements liability” and “Tax receivable agreements liability, net of current portion,” respectively.</w:t>
      </w:r>
    </w:p>
    <w:p>
      <w:pPr>
        <w:pStyle w:val="TextBody"/>
        <w:bidi w:val="0"/>
        <w:spacing w:lineRule="auto" w:line="288" w:before="0" w:after="180"/>
        <w:jc w:val="both"/>
      </w:pPr>
      <w:r>
        <w:rPr>
          <w:rFonts w:ascii="Arial;sans-serif" w:hAnsi="Arial;sans-serif"/>
          <w:b w:val="false"/>
          <w:color w:val="131E29"/>
          <w:sz w:val="20"/>
        </w:rPr>
        <w:t xml:space="preserve">As of September 30, 2026, our total TRAs-related liabilities were </w:t>
      </w:r>
      <w:r>
        <w:rPr>
          <w:rFonts w:ascii="Arial;sans-serif" w:hAnsi="Arial;sans-serif"/>
          <w:b w:val="false"/>
          <w:color w:val="000000"/>
          <w:sz w:val="20"/>
        </w:rPr>
        <w:t>$973.8 million.</w:t>
      </w:r>
      <w:r>
        <w:rPr>
          <w:color w:val="131E29"/>
        </w:rPr>
        <w:t xml:space="preserve"> </w:t>
      </w:r>
      <w:r>
        <w:rPr>
          <w:rFonts w:ascii="Arial;sans-serif" w:hAnsi="Arial;sans-serif"/>
          <w:b w:val="false"/>
          <w:color w:val="131E29"/>
          <w:sz w:val="20"/>
        </w:rPr>
        <w:t>The changes related to these liabilities were as follows:</w:t>
      </w:r>
    </w:p>
    <w:tbl>
      <w:tblPr>
        <w:tblW w:w="10205" w:type="dxa"/>
        <w:jc w:val="left"/>
        <w:tblInd w:w="0" w:type="dxa"/>
        <w:tblLayout w:type="fixed"/>
        <w:tblCellMar>
          <w:top w:w="28" w:type="dxa"/>
          <w:left w:w="28" w:type="dxa"/>
          <w:bottom w:w="28" w:type="dxa"/>
          <w:right w:w="28" w:type="dxa"/>
        </w:tblCellMar>
      </w:tblPr>
      <w:tblGrid>
        <w:gridCol w:w="2262"/>
        <w:gridCol w:w="1893"/>
        <w:gridCol w:w="1883"/>
        <w:gridCol w:w="109"/>
        <w:gridCol w:w="109"/>
        <w:gridCol w:w="109"/>
        <w:gridCol w:w="316"/>
        <w:gridCol w:w="1283"/>
        <w:gridCol w:w="163"/>
        <w:gridCol w:w="109"/>
        <w:gridCol w:w="109"/>
        <w:gridCol w:w="109"/>
        <w:gridCol w:w="301"/>
        <w:gridCol w:w="1226"/>
        <w:gridCol w:w="224"/>
      </w:tblGrid>
      <w:tr>
        <w:tc>
          <w:tcPr>
            <w:tcW w:w="2262"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c>
          <w:tcPr>
            <w:tcW w:w="6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c>
          <w:tcPr>
            <w:tcW w:w="603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8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821,049</w:t>
            </w:r>
            <w:r>
              <w:rPr>
                <w:color w:val="006098"/>
              </w:rPr>
              <w:t> </w:t>
            </w:r>
          </w:p>
        </w:tc>
        <w:tc>
          <w:tcPr>
            <w:tcW w:w="16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627,834</w:t>
            </w:r>
            <w:r>
              <w:rPr>
                <w:color w:val="131E29"/>
              </w:rPr>
              <w:t> </w:t>
            </w:r>
          </w:p>
        </w:tc>
        <w:tc>
          <w:tcPr>
            <w:tcW w:w="22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Additions (reductions) to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Exchange of Dutch Bros OpCo Class A common units for Class A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166,722 </w:t>
            </w:r>
          </w:p>
        </w:tc>
        <w:tc>
          <w:tcPr>
            <w:tcW w:w="16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202,680 </w:t>
            </w:r>
          </w:p>
        </w:tc>
        <w:tc>
          <w:tcPr>
            <w:tcW w:w="2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Payments under 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(13,953)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(4,698)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TRAs remeasurements and other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6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(4,767)</w:t>
            </w:r>
          </w:p>
        </w:tc>
        <w:tc>
          <w:tcPr>
            <w:tcW w:w="2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r>
      <w:t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973,818</w:t>
            </w:r>
            <w:r>
              <w:rPr>
                <w:color w:val="006098"/>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821,049</w:t>
            </w:r>
            <w:r>
              <w:rPr>
                <w:color w:val="131E29"/>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(686)</w:t>
            </w:r>
          </w:p>
        </w:tc>
        <w:tc>
          <w:tcPr>
            <w:tcW w:w="16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(7,696)</w:t>
            </w:r>
          </w:p>
        </w:tc>
        <w:tc>
          <w:tcPr>
            <w:tcW w:w="2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TRAs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973,132</w:t>
            </w:r>
            <w:r>
              <w:rPr>
                <w:color w:val="006098"/>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813,353</w:t>
            </w:r>
            <w:r>
              <w:rPr>
                <w:color w:val="131E29"/>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pPr>
      <w:r>
        <w:rPr>
          <w:rFonts w:ascii="Arial;sans-serif" w:hAnsi="Arial;sans-serif"/>
          <w:b w:val="false"/>
          <w:color w:val="000000"/>
          <w:sz w:val="10"/>
        </w:rPr>
        <w:t xml:space="preserve">1 </w:t>
      </w:r>
      <w:r>
        <w:rPr>
          <w:rFonts w:ascii="Arial;sans-serif" w:hAnsi="Arial;sans-serif"/>
          <w:b w:val="false"/>
          <w:color w:val="000000"/>
          <w:sz w:val="16"/>
        </w:rPr>
        <w:t xml:space="preserve">For 2025, the impact primarily related to state tax rates and adjustments from previous estimates upon finalization of the tax attributes subject to the TRAs.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nine months ended September 30, 2026 in connection with our TRAs, deferred tax assets associated with our investment in Dutch Bros OpCo increased $179.4 million due to the exchange of approximately 10.6 million units of our Class A common units for Class A common stock. In addition, during the nine months ended September 30, 2026 the TRA liability increased $166.7 million as a result of these exchanges.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3220"/>
                <wp:effectExtent l="0" t="0" r="0" b="0"/>
                <wp:wrapNone/>
                <wp:docPr id="71" name="Frame2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bookmarkStart w:id="46" w:name="i-25"/>
                            <w:bookmarkEnd w:id="4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bookmarkStart w:id="47" w:name="i-25"/>
                      <w:bookmarkEnd w:id="4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12 —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Restricted Stock Units</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 activity was as follows:</w:t>
      </w:r>
    </w:p>
    <w:tbl>
      <w:tblPr>
        <w:tblW w:w="10205" w:type="dxa"/>
        <w:jc w:val="left"/>
        <w:tblInd w:w="0" w:type="dxa"/>
        <w:tblLayout w:type="fixed"/>
        <w:tblCellMar>
          <w:top w:w="28" w:type="dxa"/>
          <w:left w:w="28" w:type="dxa"/>
          <w:bottom w:w="28" w:type="dxa"/>
          <w:right w:w="28" w:type="dxa"/>
        </w:tblCellMar>
      </w:tblPr>
      <w:tblGrid>
        <w:gridCol w:w="1102"/>
        <w:gridCol w:w="961"/>
        <w:gridCol w:w="967"/>
        <w:gridCol w:w="109"/>
        <w:gridCol w:w="109"/>
        <w:gridCol w:w="109"/>
        <w:gridCol w:w="693"/>
        <w:gridCol w:w="693"/>
        <w:gridCol w:w="694"/>
        <w:gridCol w:w="109"/>
        <w:gridCol w:w="109"/>
        <w:gridCol w:w="109"/>
        <w:gridCol w:w="923"/>
        <w:gridCol w:w="2834"/>
        <w:gridCol w:w="684"/>
      </w:tblGrid>
      <w:tr>
        <w:tc>
          <w:tcPr>
            <w:tcW w:w="11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c>
          <w:tcPr>
            <w:tcW w:w="303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20"/>
              </w:rPr>
              <w:t>842</w:t>
            </w:r>
            <w:r>
              <w:rPr>
                <w:color w:val="131E29"/>
              </w:rPr>
              <w:t> </w:t>
            </w:r>
          </w:p>
        </w:tc>
        <w:tc>
          <w:tcPr>
            <w:tcW w:w="6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28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20"/>
              </w:rPr>
              <w:t>46.55</w:t>
            </w:r>
            <w:r>
              <w:rPr>
                <w:color w:val="131E29"/>
              </w:rPr>
              <w:t> </w:t>
            </w:r>
          </w:p>
        </w:tc>
        <w:tc>
          <w:tcPr>
            <w:tcW w:w="68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704 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53.26 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(417)</w:t>
            </w:r>
          </w:p>
        </w:tc>
        <w:tc>
          <w:tcPr>
            <w:tcW w:w="6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41.26 </w:t>
            </w:r>
          </w:p>
        </w:tc>
        <w:tc>
          <w:tcPr>
            <w:tcW w:w="68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(103)</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50.81 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September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1,026</w:t>
            </w:r>
            <w:r>
              <w:rPr>
                <w:color w:val="006098"/>
              </w:rPr>
              <w:t> </w:t>
            </w:r>
          </w:p>
        </w:tc>
        <w:tc>
          <w:tcPr>
            <w:tcW w:w="6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52.88</w:t>
            </w:r>
            <w:r>
              <w:rPr>
                <w:color w:val="006098"/>
              </w:rPr>
              <w:t> </w:t>
            </w:r>
          </w:p>
        </w:tc>
        <w:tc>
          <w:tcPr>
            <w:tcW w:w="6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PSU activity was as follows:</w:t>
      </w:r>
    </w:p>
    <w:tbl>
      <w:tblPr>
        <w:tblW w:w="10205" w:type="dxa"/>
        <w:jc w:val="left"/>
        <w:tblInd w:w="0" w:type="dxa"/>
        <w:tblLayout w:type="fixed"/>
        <w:tblCellMar>
          <w:top w:w="28" w:type="dxa"/>
          <w:left w:w="28" w:type="dxa"/>
          <w:bottom w:w="28" w:type="dxa"/>
          <w:right w:w="28" w:type="dxa"/>
        </w:tblCellMar>
      </w:tblPr>
      <w:tblGrid>
        <w:gridCol w:w="1006"/>
        <w:gridCol w:w="861"/>
        <w:gridCol w:w="867"/>
        <w:gridCol w:w="109"/>
        <w:gridCol w:w="109"/>
        <w:gridCol w:w="109"/>
        <w:gridCol w:w="923"/>
        <w:gridCol w:w="923"/>
        <w:gridCol w:w="925"/>
        <w:gridCol w:w="109"/>
        <w:gridCol w:w="109"/>
        <w:gridCol w:w="109"/>
        <w:gridCol w:w="763"/>
        <w:gridCol w:w="2718"/>
        <w:gridCol w:w="565"/>
      </w:tblGrid>
      <w:tr>
        <w:tc>
          <w:tcPr>
            <w:tcW w:w="10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c>
          <w:tcPr>
            <w:tcW w:w="2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Performance - Based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c>
          <w:tcPr>
            <w:tcW w:w="27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55</w:t>
            </w:r>
            <w:r>
              <w:rPr>
                <w:color w:val="131E29"/>
              </w:rPr>
              <w:t> </w:t>
            </w:r>
          </w:p>
        </w:tc>
        <w:tc>
          <w:tcPr>
            <w:tcW w:w="92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271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132.96</w:t>
            </w:r>
            <w:r>
              <w:rPr>
                <w:color w:val="131E29"/>
              </w:rPr>
              <w:t> </w:t>
            </w:r>
          </w:p>
        </w:tc>
        <w:tc>
          <w:tcPr>
            <w:tcW w:w="56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78.80 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c>
          <w:tcPr>
            <w:tcW w:w="27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w:t>
            </w:r>
          </w:p>
        </w:tc>
        <w:tc>
          <w:tcPr>
            <w:tcW w:w="9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103.91 </w:t>
            </w:r>
          </w:p>
        </w:tc>
        <w:tc>
          <w:tcPr>
            <w:tcW w:w="56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174</w:t>
            </w:r>
            <w:r>
              <w:rPr>
                <w:color w:val="006098"/>
              </w:rPr>
              <w:t> </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93.79</w:t>
            </w:r>
            <w:r>
              <w:rPr>
                <w:color w:val="006098"/>
              </w:rPr>
              <w:t>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Total release date fair value of vested equity awards for the nine months ended September 30, 2026 and 2025 are presented below: </w:t>
      </w:r>
    </w:p>
    <w:tbl>
      <w:tblPr>
        <w:tblW w:w="10205" w:type="dxa"/>
        <w:jc w:val="left"/>
        <w:tblInd w:w="0" w:type="dxa"/>
        <w:tblLayout w:type="fixed"/>
        <w:tblCellMar>
          <w:top w:w="28" w:type="dxa"/>
          <w:left w:w="28" w:type="dxa"/>
          <w:bottom w:w="28" w:type="dxa"/>
          <w:right w:w="28" w:type="dxa"/>
        </w:tblCellMar>
      </w:tblPr>
      <w:tblGrid>
        <w:gridCol w:w="792"/>
        <w:gridCol w:w="695"/>
        <w:gridCol w:w="700"/>
        <w:gridCol w:w="109"/>
        <w:gridCol w:w="109"/>
        <w:gridCol w:w="109"/>
        <w:gridCol w:w="109"/>
        <w:gridCol w:w="109"/>
        <w:gridCol w:w="109"/>
        <w:gridCol w:w="109"/>
        <w:gridCol w:w="439"/>
        <w:gridCol w:w="383"/>
        <w:gridCol w:w="372"/>
        <w:gridCol w:w="109"/>
        <w:gridCol w:w="109"/>
        <w:gridCol w:w="109"/>
        <w:gridCol w:w="371"/>
        <w:gridCol w:w="1137"/>
        <w:gridCol w:w="191"/>
        <w:gridCol w:w="109"/>
        <w:gridCol w:w="109"/>
        <w:gridCol w:w="109"/>
        <w:gridCol w:w="439"/>
        <w:gridCol w:w="383"/>
        <w:gridCol w:w="372"/>
        <w:gridCol w:w="109"/>
        <w:gridCol w:w="109"/>
        <w:gridCol w:w="109"/>
        <w:gridCol w:w="371"/>
        <w:gridCol w:w="1137"/>
        <w:gridCol w:w="191"/>
        <w:gridCol w:w="109"/>
        <w:gridCol w:w="109"/>
        <w:gridCol w:w="109"/>
        <w:gridCol w:w="161"/>
      </w:tblGrid>
      <w:t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8" w:type="dxa"/>
            <w:gridSpan w:val="4"/>
            <w:tcBorders/>
          </w:tcPr>
          <w:p>
            <w:pPr>
              <w:pStyle w:val="TableContents"/>
              <w:bidi w:val="0"/>
              <w:spacing w:before="0" w:after="283"/>
              <w:jc w:val="left"/>
              <w:rPr>
                <w:sz w:val="4"/>
                <w:szCs w:val="4"/>
              </w:rPr>
            </w:pPr>
            <w:r>
              <w:rPr>
                <w:sz w:val="4"/>
                <w:szCs w:val="4"/>
              </w:rPr>
            </w:r>
          </w:p>
        </w:tc>
      </w:tr>
      <w:tr>
        <w:tc>
          <w:tcPr>
            <w:tcW w:w="2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c>
          <w:tcPr>
            <w:tcW w:w="218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8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22,681 </w:t>
            </w:r>
          </w:p>
        </w:tc>
        <w:tc>
          <w:tcPr>
            <w:tcW w:w="37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13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54.40 </w:t>
            </w:r>
          </w:p>
        </w:tc>
        <w:tc>
          <w:tcPr>
            <w:tcW w:w="19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37,988 </w:t>
            </w:r>
          </w:p>
        </w:tc>
        <w:tc>
          <w:tcPr>
            <w:tcW w:w="37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3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77.69 </w:t>
            </w:r>
          </w:p>
        </w:tc>
        <w:tc>
          <w:tcPr>
            <w:tcW w:w="19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Equity-based compensation expense is recognized on a straight-line basis and is included in our condensed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1181"/>
        <w:gridCol w:w="1006"/>
        <w:gridCol w:w="1011"/>
        <w:gridCol w:w="109"/>
        <w:gridCol w:w="109"/>
        <w:gridCol w:w="109"/>
        <w:gridCol w:w="284"/>
        <w:gridCol w:w="871"/>
        <w:gridCol w:w="146"/>
        <w:gridCol w:w="146"/>
        <w:gridCol w:w="146"/>
        <w:gridCol w:w="146"/>
        <w:gridCol w:w="284"/>
        <w:gridCol w:w="871"/>
        <w:gridCol w:w="146"/>
        <w:gridCol w:w="109"/>
        <w:gridCol w:w="109"/>
        <w:gridCol w:w="109"/>
        <w:gridCol w:w="259"/>
        <w:gridCol w:w="926"/>
        <w:gridCol w:w="134"/>
        <w:gridCol w:w="134"/>
        <w:gridCol w:w="134"/>
        <w:gridCol w:w="134"/>
        <w:gridCol w:w="259"/>
        <w:gridCol w:w="926"/>
        <w:gridCol w:w="134"/>
        <w:gridCol w:w="109"/>
        <w:gridCol w:w="164"/>
      </w:tblGrid>
      <w:tr>
        <w:tc>
          <w:tcPr>
            <w:tcW w:w="11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c>
          <w:tcPr>
            <w:tcW w:w="3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3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0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9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892 </w:t>
            </w:r>
          </w:p>
        </w:tc>
        <w:tc>
          <w:tcPr>
            <w:tcW w:w="14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572 </w:t>
            </w:r>
          </w:p>
        </w:tc>
        <w:tc>
          <w:tcPr>
            <w:tcW w:w="14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2,451 </w:t>
            </w:r>
          </w:p>
        </w:tc>
        <w:tc>
          <w:tcPr>
            <w:tcW w:w="13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1,547 </w:t>
            </w:r>
          </w:p>
        </w:tc>
        <w:tc>
          <w:tcPr>
            <w:tcW w:w="13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6,063 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16,661 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19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stock-based compensation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6,955</w:t>
            </w:r>
            <w:r>
              <w:rPr>
                <w:color w:val="006098"/>
              </w:rPr>
              <w:t> </w:t>
            </w:r>
          </w:p>
        </w:tc>
        <w:tc>
          <w:tcPr>
            <w:tcW w:w="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4,648</w:t>
            </w:r>
            <w:r>
              <w:rPr>
                <w:color w:val="131E29"/>
              </w:rPr>
              <w:t> </w:t>
            </w:r>
          </w:p>
        </w:tc>
        <w:tc>
          <w:tcPr>
            <w:tcW w:w="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19,112</w:t>
            </w:r>
            <w:r>
              <w:rPr>
                <w:color w:val="006098"/>
              </w:rPr>
              <w:t>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13,513</w:t>
            </w:r>
            <w:r>
              <w:rPr>
                <w:color w:val="131E29"/>
              </w:rPr>
              <w:t>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3220"/>
                <wp:effectExtent l="0" t="0" r="0" b="0"/>
                <wp:wrapNone/>
                <wp:docPr id="74" name="Frame2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bookmarkStart w:id="48" w:name="i-26"/>
                            <w:bookmarkEnd w:id="4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bookmarkStart w:id="49" w:name="i-26"/>
                      <w:bookmarkEnd w:id="4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2026, total unrecognized stock-based compensation related to unvested RSUs and PSUs was $52.7 million, which will be recognized as follows:</w:t>
      </w:r>
    </w:p>
    <w:tbl>
      <w:tblPr>
        <w:tblW w:w="5913" w:type="dxa"/>
        <w:jc w:val="left"/>
        <w:tblInd w:w="0" w:type="dxa"/>
        <w:tblLayout w:type="fixed"/>
        <w:tblCellMar>
          <w:top w:w="28" w:type="dxa"/>
          <w:left w:w="28" w:type="dxa"/>
          <w:bottom w:w="28" w:type="dxa"/>
          <w:right w:w="28" w:type="dxa"/>
        </w:tblCellMar>
      </w:tblPr>
      <w:tblGrid>
        <w:gridCol w:w="1620"/>
        <w:gridCol w:w="1421"/>
        <w:gridCol w:w="1429"/>
        <w:gridCol w:w="109"/>
        <w:gridCol w:w="109"/>
        <w:gridCol w:w="109"/>
        <w:gridCol w:w="211"/>
        <w:gridCol w:w="751"/>
        <w:gridCol w:w="154"/>
      </w:tblGrid>
      <w:t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c>
          <w:tcPr>
            <w:tcW w:w="44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7,323 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17,215 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c>
          <w:tcPr>
            <w:tcW w:w="44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unrecognized stock-based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52,700</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13 — Non-Controlling Interests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w:t>
      </w:r>
    </w:p>
    <w:tbl>
      <w:tblPr>
        <w:tblW w:w="10205" w:type="dxa"/>
        <w:jc w:val="left"/>
        <w:tblInd w:w="0" w:type="dxa"/>
        <w:tblLayout w:type="fixed"/>
        <w:tblCellMar>
          <w:top w:w="28" w:type="dxa"/>
          <w:left w:w="28" w:type="dxa"/>
          <w:bottom w:w="28" w:type="dxa"/>
          <w:right w:w="28" w:type="dxa"/>
        </w:tblCellMar>
      </w:tblPr>
      <w:tblGrid>
        <w:gridCol w:w="2440"/>
        <w:gridCol w:w="2103"/>
        <w:gridCol w:w="2111"/>
        <w:gridCol w:w="109"/>
        <w:gridCol w:w="109"/>
        <w:gridCol w:w="109"/>
        <w:gridCol w:w="428"/>
        <w:gridCol w:w="428"/>
        <w:gridCol w:w="375"/>
        <w:gridCol w:w="171"/>
        <w:gridCol w:w="171"/>
        <w:gridCol w:w="171"/>
        <w:gridCol w:w="329"/>
        <w:gridCol w:w="317"/>
        <w:gridCol w:w="834"/>
      </w:tblGrid>
      <w:tr>
        <w:tc>
          <w:tcPr>
            <w:tcW w:w="2440"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September 30, 2026</w:t>
            </w:r>
          </w:p>
        </w:tc>
      </w:tr>
      <w:tr>
        <w:tc>
          <w:tcPr>
            <w:tcW w:w="6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(units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51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c>
          <w:tcPr>
            <w:tcW w:w="665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Dutch Bros OpCo Class A common units held by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137,951 </w:t>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77.6 </w:t>
            </w:r>
          </w:p>
        </w:tc>
        <w:tc>
          <w:tcPr>
            <w:tcW w:w="8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c>
          <w:tcPr>
            <w:tcW w:w="6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Dutch Bros OpCo Class A common units held by non-controlling interest holders</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39,818 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22.4 </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c>
          <w:tcPr>
            <w:tcW w:w="66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Dutch Bros OpCo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177,769</w:t>
            </w:r>
            <w:r>
              <w:rPr>
                <w:color w:val="006098"/>
              </w:rPr>
              <w:t> </w:t>
            </w:r>
          </w:p>
        </w:tc>
        <w:tc>
          <w:tcPr>
            <w:tcW w:w="3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100.0</w:t>
            </w:r>
            <w:r>
              <w:rPr>
                <w:color w:val="006098"/>
              </w:rPr>
              <w:t> </w:t>
            </w:r>
          </w:p>
        </w:tc>
        <w:tc>
          <w:tcPr>
            <w:tcW w:w="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w:t>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60"/>
        <w:ind w:left="0" w:right="0" w:hanging="180"/>
        <w:jc w:val="both"/>
      </w:pPr>
      <w:r>
        <w:rPr>
          <w:rFonts w:ascii="Arial;sans-serif" w:hAnsi="Arial;sans-serif"/>
          <w:b w:val="false"/>
          <w:color w:val="131E29"/>
          <w:sz w:val="10"/>
        </w:rPr>
        <w:t>1    </w:t>
      </w:r>
      <w:r>
        <w:rPr>
          <w:rFonts w:ascii="Arial;sans-serif" w:hAnsi="Arial;sans-serif"/>
          <w:b w:val="false"/>
          <w:color w:val="131E29"/>
          <w:sz w:val="16"/>
        </w:rPr>
        <w:t>Non-controlling interest ownership includes approximately 3.1 million Class A common units that were decoupled from Class B common stock; these units can be converted on a one-for-one basis to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3220"/>
                <wp:effectExtent l="0" t="0" r="0" b="0"/>
                <wp:wrapNone/>
                <wp:docPr id="77" name="Frame2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bookmarkStart w:id="50" w:name="i-27"/>
                            <w:bookmarkEnd w:id="5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bookmarkStart w:id="51" w:name="i-27"/>
                      <w:bookmarkEnd w:id="5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our equity for the periods presented:</w:t>
      </w:r>
    </w:p>
    <w:tbl>
      <w:tblPr>
        <w:tblW w:w="10205" w:type="dxa"/>
        <w:jc w:val="left"/>
        <w:tblInd w:w="0" w:type="dxa"/>
        <w:tblLayout w:type="fixed"/>
        <w:tblCellMar>
          <w:top w:w="28" w:type="dxa"/>
          <w:left w:w="28" w:type="dxa"/>
          <w:bottom w:w="28" w:type="dxa"/>
          <w:right w:w="28" w:type="dxa"/>
        </w:tblCellMar>
      </w:tblPr>
      <w:tblGrid>
        <w:gridCol w:w="1496"/>
        <w:gridCol w:w="1139"/>
        <w:gridCol w:w="1148"/>
        <w:gridCol w:w="109"/>
        <w:gridCol w:w="109"/>
        <w:gridCol w:w="109"/>
        <w:gridCol w:w="232"/>
        <w:gridCol w:w="829"/>
        <w:gridCol w:w="120"/>
        <w:gridCol w:w="120"/>
        <w:gridCol w:w="120"/>
        <w:gridCol w:w="120"/>
        <w:gridCol w:w="232"/>
        <w:gridCol w:w="829"/>
        <w:gridCol w:w="120"/>
        <w:gridCol w:w="109"/>
        <w:gridCol w:w="109"/>
        <w:gridCol w:w="109"/>
        <w:gridCol w:w="227"/>
        <w:gridCol w:w="923"/>
        <w:gridCol w:w="117"/>
        <w:gridCol w:w="117"/>
        <w:gridCol w:w="117"/>
        <w:gridCol w:w="117"/>
        <w:gridCol w:w="227"/>
        <w:gridCol w:w="809"/>
        <w:gridCol w:w="117"/>
        <w:gridCol w:w="109"/>
        <w:gridCol w:w="166"/>
      </w:tblGrid>
      <w:tr>
        <w:tc>
          <w:tcPr>
            <w:tcW w:w="14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c>
          <w:tcPr>
            <w:tcW w:w="3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2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27,157</w:t>
            </w:r>
            <w:r>
              <w:rPr>
                <w:color w:val="006098"/>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2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20"/>
              </w:rPr>
              <w:t>17,495</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80,664</w:t>
            </w:r>
            <w:r>
              <w:rPr>
                <w:color w:val="006098"/>
              </w:rPr>
              <w:t>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0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pPr>
            <w:r>
              <w:rPr>
                <w:rFonts w:ascii="Arial;sans-serif" w:hAnsi="Arial;sans-serif"/>
                <w:b/>
                <w:color w:val="131E29"/>
                <w:sz w:val="20"/>
              </w:rPr>
              <w:t>58,472</w:t>
            </w:r>
            <w:r>
              <w:rPr>
                <w:color w:val="131E29"/>
              </w:rPr>
              <w:t>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impacts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(77)</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(466)</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as a result of 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5,397 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3,326 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14,500 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9,567 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Decrease as a result of common stock issuances pursuant to vesting of equity awards, net of stock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as a result of the acquisition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143 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45,989 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40,904 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effect of changes in ownership interest on equity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31,806</w:t>
            </w:r>
            <w:r>
              <w:rPr>
                <w:color w:val="006098"/>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20,016</w:t>
            </w:r>
            <w:r>
              <w:rPr>
                <w:color w:val="131E29"/>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135,712</w:t>
            </w:r>
            <w:r>
              <w:rPr>
                <w:color w:val="006098"/>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99,978</w:t>
            </w:r>
            <w:r>
              <w:rPr>
                <w:color w:val="131E29"/>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to Dutch Bros Inc. and the non-controlling interest holders. The non-controlling interest holders’ weighted-average ownership percentages were as follows for the periods presented:</w:t>
      </w:r>
    </w:p>
    <w:tbl>
      <w:tblPr>
        <w:tblW w:w="10205" w:type="dxa"/>
        <w:jc w:val="left"/>
        <w:tblInd w:w="0" w:type="dxa"/>
        <w:tblLayout w:type="fixed"/>
        <w:tblCellMar>
          <w:top w:w="28" w:type="dxa"/>
          <w:left w:w="28" w:type="dxa"/>
          <w:bottom w:w="28" w:type="dxa"/>
          <w:right w:w="28" w:type="dxa"/>
        </w:tblCellMar>
      </w:tblPr>
      <w:tblGrid>
        <w:gridCol w:w="1449"/>
        <w:gridCol w:w="1273"/>
        <w:gridCol w:w="1278"/>
        <w:gridCol w:w="109"/>
        <w:gridCol w:w="109"/>
        <w:gridCol w:w="109"/>
        <w:gridCol w:w="280"/>
        <w:gridCol w:w="270"/>
        <w:gridCol w:w="499"/>
        <w:gridCol w:w="190"/>
        <w:gridCol w:w="190"/>
        <w:gridCol w:w="190"/>
        <w:gridCol w:w="280"/>
        <w:gridCol w:w="270"/>
        <w:gridCol w:w="499"/>
        <w:gridCol w:w="109"/>
        <w:gridCol w:w="109"/>
        <w:gridCol w:w="109"/>
        <w:gridCol w:w="271"/>
        <w:gridCol w:w="270"/>
        <w:gridCol w:w="488"/>
        <w:gridCol w:w="185"/>
        <w:gridCol w:w="185"/>
        <w:gridCol w:w="185"/>
        <w:gridCol w:w="271"/>
        <w:gridCol w:w="270"/>
        <w:gridCol w:w="488"/>
        <w:gridCol w:w="109"/>
        <w:gridCol w:w="161"/>
      </w:tblGrid>
      <w:tr>
        <w:tc>
          <w:tcPr>
            <w:tcW w:w="144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0" w:type="dxa"/>
            <w:gridSpan w:val="2"/>
            <w:tcBorders/>
          </w:tcPr>
          <w:p>
            <w:pPr>
              <w:pStyle w:val="TableContents"/>
              <w:bidi w:val="0"/>
              <w:spacing w:before="0" w:after="283"/>
              <w:jc w:val="left"/>
              <w:rPr>
                <w:sz w:val="4"/>
                <w:szCs w:val="4"/>
              </w:rPr>
            </w:pPr>
            <w:r>
              <w:rPr>
                <w:sz w:val="4"/>
                <w:szCs w:val="4"/>
              </w:rPr>
            </w:r>
          </w:p>
        </w:tc>
      </w:tr>
      <w:t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57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55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0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ownership percentage of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22.4 </w:t>
            </w:r>
          </w:p>
        </w:tc>
        <w:tc>
          <w:tcPr>
            <w:tcW w:w="49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28.5 </w:t>
            </w:r>
          </w:p>
        </w:tc>
        <w:tc>
          <w:tcPr>
            <w:tcW w:w="49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25.0 </w:t>
            </w:r>
          </w:p>
        </w:tc>
        <w:tc>
          <w:tcPr>
            <w:tcW w:w="48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55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29.7 </w:t>
            </w:r>
          </w:p>
        </w:tc>
        <w:tc>
          <w:tcPr>
            <w:tcW w:w="48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OpCo LLC Agreement, Dutch Bros OpCo is required to make certain distributions to its members with regard to tax obligations. Such distributions paid to members were as follows for the periods presented, and no amounts were payable as of the periods then ended.</w:t>
      </w:r>
    </w:p>
    <w:tbl>
      <w:tblPr>
        <w:tblW w:w="10205" w:type="dxa"/>
        <w:jc w:val="left"/>
        <w:tblInd w:w="0" w:type="dxa"/>
        <w:tblLayout w:type="fixed"/>
        <w:tblCellMar>
          <w:top w:w="28" w:type="dxa"/>
          <w:left w:w="28" w:type="dxa"/>
          <w:bottom w:w="28" w:type="dxa"/>
          <w:right w:w="28" w:type="dxa"/>
        </w:tblCellMar>
      </w:tblPr>
      <w:tblGrid>
        <w:gridCol w:w="1198"/>
        <w:gridCol w:w="1052"/>
        <w:gridCol w:w="1059"/>
        <w:gridCol w:w="109"/>
        <w:gridCol w:w="109"/>
        <w:gridCol w:w="109"/>
        <w:gridCol w:w="310"/>
        <w:gridCol w:w="949"/>
        <w:gridCol w:w="159"/>
        <w:gridCol w:w="159"/>
        <w:gridCol w:w="159"/>
        <w:gridCol w:w="159"/>
        <w:gridCol w:w="310"/>
        <w:gridCol w:w="596"/>
        <w:gridCol w:w="159"/>
        <w:gridCol w:w="109"/>
        <w:gridCol w:w="109"/>
        <w:gridCol w:w="109"/>
        <w:gridCol w:w="268"/>
        <w:gridCol w:w="956"/>
        <w:gridCol w:w="138"/>
        <w:gridCol w:w="138"/>
        <w:gridCol w:w="138"/>
        <w:gridCol w:w="138"/>
        <w:gridCol w:w="268"/>
        <w:gridCol w:w="823"/>
        <w:gridCol w:w="138"/>
        <w:gridCol w:w="109"/>
        <w:gridCol w:w="168"/>
      </w:tblGrid>
      <w:t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7" w:type="dxa"/>
            <w:gridSpan w:val="2"/>
            <w:tcBorders/>
          </w:tcPr>
          <w:p>
            <w:pPr>
              <w:pStyle w:val="TableContents"/>
              <w:bidi w:val="0"/>
              <w:spacing w:before="0" w:after="283"/>
              <w:jc w:val="left"/>
              <w:rPr>
                <w:sz w:val="4"/>
                <w:szCs w:val="4"/>
              </w:rPr>
            </w:pPr>
            <w:r>
              <w:rPr>
                <w:sz w:val="4"/>
                <w:szCs w:val="4"/>
              </w:rPr>
            </w:r>
          </w:p>
        </w:tc>
      </w:tr>
      <w:tr>
        <w:tc>
          <w:tcPr>
            <w:tcW w:w="3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7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1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3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Amounts paid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4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9,242 </w:t>
            </w:r>
          </w:p>
        </w:tc>
        <w:tc>
          <w:tcPr>
            <w:tcW w:w="15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26,096 </w:t>
            </w:r>
          </w:p>
        </w:tc>
        <w:tc>
          <w:tcPr>
            <w:tcW w:w="1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6,867 </w:t>
            </w:r>
          </w:p>
        </w:tc>
        <w:tc>
          <w:tcPr>
            <w:tcW w:w="1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63220"/>
                <wp:effectExtent l="0" t="0" r="0" b="0"/>
                <wp:wrapNone/>
                <wp:docPr id="80" name="Frame2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bookmarkStart w:id="52" w:name="i-28"/>
                            <w:bookmarkEnd w:id="5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bookmarkStart w:id="53" w:name="i-28"/>
                      <w:bookmarkEnd w:id="5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pPr>
      <w:r>
        <w:rPr>
          <w:rFonts w:ascii="Arial;sans-serif" w:hAnsi="Arial;sans-serif"/>
          <w:b/>
          <w:color w:val="00416B"/>
          <w:sz w:val="24"/>
        </w:rPr>
        <w:t>NOTE 14 — Income Per Share</w:t>
      </w:r>
      <w:r>
        <w:rPr>
          <w:color w:val="EE2724"/>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tables set forth the numerators and denominators used to compute basic and diluted net income per share of Class A common stock for the periods presented:</w:t>
      </w:r>
    </w:p>
    <w:tbl>
      <w:tblPr>
        <w:tblW w:w="10205" w:type="dxa"/>
        <w:jc w:val="left"/>
        <w:tblInd w:w="0" w:type="dxa"/>
        <w:tblLayout w:type="fixed"/>
        <w:tblCellMar>
          <w:top w:w="28" w:type="dxa"/>
          <w:left w:w="28" w:type="dxa"/>
          <w:bottom w:w="28" w:type="dxa"/>
          <w:right w:w="28" w:type="dxa"/>
        </w:tblCellMar>
      </w:tblPr>
      <w:tblGrid>
        <w:gridCol w:w="1267"/>
        <w:gridCol w:w="1026"/>
        <w:gridCol w:w="1034"/>
        <w:gridCol w:w="109"/>
        <w:gridCol w:w="109"/>
        <w:gridCol w:w="109"/>
        <w:gridCol w:w="254"/>
        <w:gridCol w:w="908"/>
        <w:gridCol w:w="131"/>
        <w:gridCol w:w="131"/>
        <w:gridCol w:w="131"/>
        <w:gridCol w:w="131"/>
        <w:gridCol w:w="254"/>
        <w:gridCol w:w="908"/>
        <w:gridCol w:w="131"/>
        <w:gridCol w:w="109"/>
        <w:gridCol w:w="109"/>
        <w:gridCol w:w="109"/>
        <w:gridCol w:w="244"/>
        <w:gridCol w:w="990"/>
        <w:gridCol w:w="126"/>
        <w:gridCol w:w="126"/>
        <w:gridCol w:w="126"/>
        <w:gridCol w:w="126"/>
        <w:gridCol w:w="244"/>
        <w:gridCol w:w="868"/>
        <w:gridCol w:w="126"/>
        <w:gridCol w:w="109"/>
        <w:gridCol w:w="160"/>
      </w:tblGrid>
      <w:tr>
        <w:tc>
          <w:tcPr>
            <w:tcW w:w="12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c>
          <w:tcPr>
            <w:tcW w:w="3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9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7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32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37,228 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27,283 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112,497 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88,120 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32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Less: Net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10,071 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9,788 </w:t>
            </w:r>
          </w:p>
        </w:tc>
        <w:tc>
          <w:tcPr>
            <w:tcW w:w="13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31,833 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29,648 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27,157</w:t>
            </w:r>
            <w:r>
              <w:rPr>
                <w:color w:val="006098"/>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17,495</w:t>
            </w:r>
            <w:r>
              <w:rPr>
                <w:color w:val="131E29"/>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80,664</w:t>
            </w:r>
            <w:r>
              <w:rPr>
                <w:color w:val="006098"/>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Arial;sans-serif" w:hAnsi="Arial;sans-serif"/>
                <w:b/>
                <w:color w:val="131E29"/>
                <w:sz w:val="20"/>
              </w:rPr>
              <w:t>58,472</w:t>
            </w:r>
            <w:r>
              <w:rPr>
                <w:color w:val="131E29"/>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47"/>
        <w:gridCol w:w="1022"/>
        <w:gridCol w:w="1030"/>
        <w:gridCol w:w="109"/>
        <w:gridCol w:w="109"/>
        <w:gridCol w:w="109"/>
        <w:gridCol w:w="240"/>
        <w:gridCol w:w="855"/>
        <w:gridCol w:w="123"/>
        <w:gridCol w:w="123"/>
        <w:gridCol w:w="123"/>
        <w:gridCol w:w="123"/>
        <w:gridCol w:w="240"/>
        <w:gridCol w:w="855"/>
        <w:gridCol w:w="123"/>
        <w:gridCol w:w="109"/>
        <w:gridCol w:w="109"/>
        <w:gridCol w:w="109"/>
        <w:gridCol w:w="237"/>
        <w:gridCol w:w="844"/>
        <w:gridCol w:w="122"/>
        <w:gridCol w:w="122"/>
        <w:gridCol w:w="122"/>
        <w:gridCol w:w="122"/>
        <w:gridCol w:w="237"/>
        <w:gridCol w:w="844"/>
        <w:gridCol w:w="122"/>
        <w:gridCol w:w="109"/>
        <w:gridCol w:w="166"/>
      </w:tblGrid>
      <w:tr>
        <w:tc>
          <w:tcPr>
            <w:tcW w:w="164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c>
          <w:tcPr>
            <w:tcW w:w="3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27,157 </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5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17,495 </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4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80,664 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58,472 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Weighted-average number of shares of Class A common stock outstanding - basic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137,941 </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126,986 </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133,230 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124,751 </w:t>
            </w:r>
          </w:p>
        </w:tc>
        <w:tc>
          <w:tcPr>
            <w:tcW w:w="12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0.20</w:t>
            </w:r>
            <w:r>
              <w:rPr>
                <w:color w:val="006098"/>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0.14</w:t>
            </w:r>
            <w:r>
              <w:rPr>
                <w:color w:val="131E29"/>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0.61</w:t>
            </w:r>
            <w:r>
              <w:rPr>
                <w:color w:val="006098"/>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0.47</w:t>
            </w:r>
            <w:r>
              <w:rPr>
                <w:color w:val="131E29"/>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3220"/>
                <wp:effectExtent l="0" t="0" r="0" b="0"/>
                <wp:wrapNone/>
                <wp:docPr id="83" name="Frame2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bookmarkStart w:id="54" w:name="i-29"/>
                            <w:bookmarkEnd w:id="5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bookmarkStart w:id="55" w:name="i-29"/>
                      <w:bookmarkEnd w:id="5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1773"/>
        <w:gridCol w:w="1060"/>
        <w:gridCol w:w="1068"/>
        <w:gridCol w:w="109"/>
        <w:gridCol w:w="109"/>
        <w:gridCol w:w="109"/>
        <w:gridCol w:w="231"/>
        <w:gridCol w:w="823"/>
        <w:gridCol w:w="119"/>
        <w:gridCol w:w="119"/>
        <w:gridCol w:w="119"/>
        <w:gridCol w:w="119"/>
        <w:gridCol w:w="231"/>
        <w:gridCol w:w="823"/>
        <w:gridCol w:w="119"/>
        <w:gridCol w:w="109"/>
        <w:gridCol w:w="109"/>
        <w:gridCol w:w="109"/>
        <w:gridCol w:w="228"/>
        <w:gridCol w:w="815"/>
        <w:gridCol w:w="118"/>
        <w:gridCol w:w="118"/>
        <w:gridCol w:w="118"/>
        <w:gridCol w:w="118"/>
        <w:gridCol w:w="228"/>
        <w:gridCol w:w="815"/>
        <w:gridCol w:w="118"/>
        <w:gridCol w:w="109"/>
        <w:gridCol w:w="162"/>
      </w:tblGrid>
      <w:tr>
        <w:tc>
          <w:tcPr>
            <w:tcW w:w="177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Undistributed net income for basic computation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23"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27,157 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23"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17,495 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1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80,664 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1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58,472 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in net income attributable to common stockholders upon conversion of potentially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Allocation of undistributed 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27,170</w:t>
            </w:r>
            <w:r>
              <w:rPr>
                <w:color w:val="006098"/>
              </w:rPr>
              <w:t> </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2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17,517</w:t>
            </w:r>
            <w:r>
              <w:rPr>
                <w:color w:val="131E29"/>
              </w:rPr>
              <w:t> </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80,692</w:t>
            </w:r>
            <w:r>
              <w:rPr>
                <w:color w:val="006098"/>
              </w:rPr>
              <w:t>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58,548</w:t>
            </w:r>
            <w:r>
              <w:rPr>
                <w:color w:val="131E29"/>
              </w:rPr>
              <w:t> </w:t>
            </w:r>
          </w:p>
        </w:tc>
        <w:tc>
          <w:tcPr>
            <w:tcW w:w="11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Number of shares used in basic computation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137,941 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126,986 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133,230 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124,751 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 weighted-average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0"/>
              <w:jc w:val="right"/>
            </w:p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237 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393 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158 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453 </w:t>
            </w:r>
          </w:p>
        </w:tc>
        <w:tc>
          <w:tcPr>
            <w:tcW w:w="11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number of shares of Class A common stock outstanding used to calculate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138,178 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127,379 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133,388 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125,204 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0.20</w:t>
            </w:r>
            <w:r>
              <w:rPr>
                <w:color w:val="006098"/>
              </w:rPr>
              <w:t> </w:t>
            </w:r>
          </w:p>
        </w:tc>
        <w:tc>
          <w:tcPr>
            <w:tcW w:w="1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0.14</w:t>
            </w:r>
            <w:r>
              <w:rPr>
                <w:color w:val="131E29"/>
              </w:rPr>
              <w:t> </w:t>
            </w:r>
          </w:p>
        </w:tc>
        <w:tc>
          <w:tcPr>
            <w:tcW w:w="1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0.60</w:t>
            </w:r>
            <w:r>
              <w:rPr>
                <w:color w:val="006098"/>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0.47</w:t>
            </w:r>
            <w:r>
              <w:rPr>
                <w:color w:val="131E29"/>
              </w:rPr>
              <w:t>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Class A common stock equivalents were excluded from diluted net income per share in the periods presented because they were anti-dilutive:</w:t>
      </w:r>
    </w:p>
    <w:tbl>
      <w:tblPr>
        <w:tblW w:w="10205" w:type="dxa"/>
        <w:jc w:val="left"/>
        <w:tblInd w:w="0" w:type="dxa"/>
        <w:tblLayout w:type="fixed"/>
        <w:tblCellMar>
          <w:top w:w="28" w:type="dxa"/>
          <w:left w:w="28" w:type="dxa"/>
          <w:bottom w:w="28" w:type="dxa"/>
          <w:right w:w="28" w:type="dxa"/>
        </w:tblCellMar>
      </w:tblPr>
      <w:tblGrid>
        <w:gridCol w:w="959"/>
        <w:gridCol w:w="843"/>
        <w:gridCol w:w="848"/>
        <w:gridCol w:w="109"/>
        <w:gridCol w:w="109"/>
        <w:gridCol w:w="109"/>
        <w:gridCol w:w="379"/>
        <w:gridCol w:w="371"/>
        <w:gridCol w:w="371"/>
        <w:gridCol w:w="371"/>
        <w:gridCol w:w="371"/>
        <w:gridCol w:w="371"/>
        <w:gridCol w:w="379"/>
        <w:gridCol w:w="371"/>
        <w:gridCol w:w="383"/>
        <w:gridCol w:w="109"/>
        <w:gridCol w:w="109"/>
        <w:gridCol w:w="109"/>
        <w:gridCol w:w="367"/>
        <w:gridCol w:w="359"/>
        <w:gridCol w:w="359"/>
        <w:gridCol w:w="359"/>
        <w:gridCol w:w="359"/>
        <w:gridCol w:w="359"/>
        <w:gridCol w:w="367"/>
        <w:gridCol w:w="359"/>
        <w:gridCol w:w="371"/>
        <w:gridCol w:w="109"/>
        <w:gridCol w:w="166"/>
      </w:tblGrid>
      <w:t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2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c>
          <w:tcPr>
            <w:tcW w:w="2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111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107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2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26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149 </w:t>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264 </w:t>
            </w:r>
          </w:p>
        </w:tc>
        <w:tc>
          <w:tcPr>
            <w:tcW w:w="38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677 </w:t>
            </w:r>
          </w:p>
        </w:tc>
        <w:tc>
          <w:tcPr>
            <w:tcW w:w="35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203 </w:t>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2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265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anti-dilutive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255</w:t>
            </w:r>
            <w:r>
              <w:rPr>
                <w:color w:val="006098"/>
              </w:rPr>
              <w:t> </w:t>
            </w:r>
          </w:p>
        </w:tc>
        <w:tc>
          <w:tcPr>
            <w:tcW w:w="3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335</w:t>
            </w:r>
            <w:r>
              <w:rPr>
                <w:color w:val="131E29"/>
              </w:rPr>
              <w:t> </w:t>
            </w:r>
          </w:p>
        </w:tc>
        <w:tc>
          <w:tcPr>
            <w:tcW w:w="3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772</w:t>
            </w:r>
            <w:r>
              <w:rPr>
                <w:color w:val="006098"/>
              </w:rPr>
              <w:t> </w:t>
            </w:r>
          </w:p>
        </w:tc>
        <w:tc>
          <w:tcPr>
            <w:tcW w:w="3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264</w:t>
            </w:r>
            <w:r>
              <w:rPr>
                <w:color w:val="131E29"/>
              </w:rPr>
              <w:t> </w:t>
            </w:r>
          </w:p>
        </w:tc>
        <w:tc>
          <w:tcPr>
            <w:tcW w:w="3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15 — Commitments and Contingencies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Purchase Obligations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enter into fixed-price and price-to-be-fixed green coffee purchase commitments. For both fixed-price and price-to-be-fixed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Guarantees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periodically provide guarantees to franchise partners for lease payments. As of September 30, 2026 and December 31, 2025, we had guaranteed approximately $7.5 million and $7.8 million, respectively, in franchise partners’ lease payments and have not established a liability for these guarantees as any liability arising from the guarantees is not material to the condensed consolidated financial statements.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3220"/>
                <wp:effectExtent l="0" t="0" r="0" b="0"/>
                <wp:wrapNone/>
                <wp:docPr id="86" name="Frame3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bookmarkStart w:id="56" w:name="i-30"/>
                            <w:bookmarkEnd w:id="5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bookmarkStart w:id="57" w:name="i-30"/>
                      <w:bookmarkEnd w:id="5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routine legal actions arising in the ordinary course of and incidental to its business. These claims, legal proceedings, and litigation principally arise from alleged casualty, employment, and other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claim, proceeding, or litigation has an element of uncertainty, and an unfavorable outcome may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Liabilities Under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TRAs, Dutch Bros Inc. is contractually committed to pay the non-controlling interest holders 85% of the amount of any tax benefits that Dutch Bros Inc. actually realizes, or in some cases is deemed to realize, as a result of certain transactions. As of September 30, 2026, Dutch Bros Inc. recognized $973.8 million of liabilities related to its obligations under the TRAs. Refer to NOTE 11 — Income Taxes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16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Related party transactions were as follows for the periods presented:</w:t>
      </w:r>
    </w:p>
    <w:tbl>
      <w:tblPr>
        <w:tblW w:w="10205" w:type="dxa"/>
        <w:jc w:val="left"/>
        <w:tblInd w:w="0" w:type="dxa"/>
        <w:tblLayout w:type="fixed"/>
        <w:tblCellMar>
          <w:top w:w="28" w:type="dxa"/>
          <w:left w:w="28" w:type="dxa"/>
          <w:bottom w:w="28" w:type="dxa"/>
          <w:right w:w="28" w:type="dxa"/>
        </w:tblCellMar>
      </w:tblPr>
      <w:tblGrid>
        <w:gridCol w:w="1288"/>
        <w:gridCol w:w="1131"/>
        <w:gridCol w:w="1136"/>
        <w:gridCol w:w="109"/>
        <w:gridCol w:w="109"/>
        <w:gridCol w:w="109"/>
        <w:gridCol w:w="291"/>
        <w:gridCol w:w="893"/>
        <w:gridCol w:w="150"/>
        <w:gridCol w:w="150"/>
        <w:gridCol w:w="150"/>
        <w:gridCol w:w="150"/>
        <w:gridCol w:w="291"/>
        <w:gridCol w:w="561"/>
        <w:gridCol w:w="150"/>
        <w:gridCol w:w="109"/>
        <w:gridCol w:w="109"/>
        <w:gridCol w:w="109"/>
        <w:gridCol w:w="250"/>
        <w:gridCol w:w="894"/>
        <w:gridCol w:w="129"/>
        <w:gridCol w:w="129"/>
        <w:gridCol w:w="129"/>
        <w:gridCol w:w="129"/>
        <w:gridCol w:w="250"/>
        <w:gridCol w:w="894"/>
        <w:gridCol w:w="129"/>
        <w:gridCol w:w="109"/>
        <w:gridCol w:w="168"/>
      </w:tblGrid>
      <w:t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7" w:type="dxa"/>
            <w:gridSpan w:val="2"/>
            <w:tcBorders/>
          </w:tcPr>
          <w:p>
            <w:pPr>
              <w:pStyle w:val="TableContents"/>
              <w:bidi w:val="0"/>
              <w:spacing w:before="0" w:after="283"/>
              <w:jc w:val="left"/>
              <w:rPr>
                <w:sz w:val="4"/>
                <w:szCs w:val="4"/>
              </w:rPr>
            </w:pPr>
            <w:r>
              <w:rPr>
                <w:sz w:val="4"/>
                <w:szCs w:val="4"/>
              </w:rPr>
            </w:r>
          </w:p>
        </w:tc>
      </w:tr>
      <w:t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5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8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Distributions and TRA payments to Co-Founder and Sponsor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9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9,242 </w:t>
            </w:r>
          </w:p>
        </w:tc>
        <w:tc>
          <w:tcPr>
            <w:tcW w:w="15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6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40,049 </w:t>
            </w:r>
          </w:p>
        </w:tc>
        <w:tc>
          <w:tcPr>
            <w:tcW w:w="12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11,565 </w:t>
            </w:r>
          </w:p>
        </w:tc>
        <w:tc>
          <w:tcPr>
            <w:tcW w:w="12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pPr>
      <w:r>
        <w:rPr>
          <w:rFonts w:ascii="Arial;sans-serif" w:hAnsi="Arial;sans-serif"/>
          <w:b w:val="false"/>
          <w:color w:val="000000"/>
          <w:sz w:val="10"/>
        </w:rPr>
        <w:t>1    </w:t>
      </w:r>
      <w:r>
        <w:rPr>
          <w:rFonts w:ascii="Arial;sans-serif" w:hAnsi="Arial;sans-serif"/>
          <w:b w:val="false"/>
          <w:color w:val="000000"/>
          <w:sz w:val="16"/>
        </w:rPr>
        <w:t>See NOTE 11 — Income Taxes for further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Dutch Bros Foundation is a not-for-profit organization founded by our company that provides grants to other not-for-profit organizations throughout the communities we serve. Our Vice Chair, Chief Financial Officer, Chief Legal Officer, Chief Development Officer, and SVP of Brand Marketing serve on the board of directors, our Vice Chair serves as the President, and our Chief Legal Officer serves as the Secretary-Treasurer.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63220"/>
                <wp:effectExtent l="0" t="0" r="0" b="0"/>
                <wp:wrapNone/>
                <wp:docPr id="89" name="Frame3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bookmarkStart w:id="58" w:name="i-31"/>
                            <w:bookmarkEnd w:id="5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bookmarkStart w:id="59" w:name="i-31"/>
                      <w:bookmarkEnd w:id="5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17 — Segment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beverage shop sales to end consumers. The Franchising and other segment includes bean and product sales to franchise partners, initial franchise fees, royalties, and marketing fees related to the franchise partners, as well as sales of products through our website.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changes have been made to our segments during the three and nine months ended September 30, 2026. In addition, no customer represented 10% or more of total revenue for the three and nine months ended September 30, 2026 and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3220"/>
                <wp:effectExtent l="0" t="0" r="0" b="0"/>
                <wp:wrapNone/>
                <wp:docPr id="92" name="Frame3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bookmarkStart w:id="60" w:name="i-32"/>
                            <w:bookmarkEnd w:id="6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bookmarkStart w:id="61" w:name="i-32"/>
                      <w:bookmarkEnd w:id="6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Financial information for our reportable segments was as follows for the periods presented:</w:t>
      </w:r>
    </w:p>
    <w:tbl>
      <w:tblPr>
        <w:tblW w:w="10205" w:type="dxa"/>
        <w:jc w:val="left"/>
        <w:tblInd w:w="0" w:type="dxa"/>
        <w:tblLayout w:type="fixed"/>
        <w:tblCellMar>
          <w:top w:w="28" w:type="dxa"/>
          <w:left w:w="28" w:type="dxa"/>
          <w:bottom w:w="28" w:type="dxa"/>
          <w:right w:w="28" w:type="dxa"/>
        </w:tblCellMar>
      </w:tblPr>
      <w:tblGrid>
        <w:gridCol w:w="1205"/>
        <w:gridCol w:w="891"/>
        <w:gridCol w:w="804"/>
        <w:gridCol w:w="109"/>
        <w:gridCol w:w="109"/>
        <w:gridCol w:w="109"/>
        <w:gridCol w:w="249"/>
        <w:gridCol w:w="1013"/>
        <w:gridCol w:w="128"/>
        <w:gridCol w:w="128"/>
        <w:gridCol w:w="128"/>
        <w:gridCol w:w="128"/>
        <w:gridCol w:w="249"/>
        <w:gridCol w:w="1013"/>
        <w:gridCol w:w="128"/>
        <w:gridCol w:w="109"/>
        <w:gridCol w:w="109"/>
        <w:gridCol w:w="109"/>
        <w:gridCol w:w="225"/>
        <w:gridCol w:w="1092"/>
        <w:gridCol w:w="116"/>
        <w:gridCol w:w="116"/>
        <w:gridCol w:w="116"/>
        <w:gridCol w:w="116"/>
        <w:gridCol w:w="225"/>
        <w:gridCol w:w="1092"/>
        <w:gridCol w:w="116"/>
        <w:gridCol w:w="109"/>
        <w:gridCol w:w="164"/>
      </w:tblGrid>
      <w:tr>
        <w:tc>
          <w:tcPr>
            <w:tcW w:w="12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c>
          <w:tcPr>
            <w:tcW w:w="2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84"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8"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515,006 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392,833 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1,454,094 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1,099,754 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34,833 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30,751 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111,008 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94,795 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549,839 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423,584 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1,565,102 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1,194,549 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&amp; packaging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132,064 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101,875 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377,494 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279,722 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137,636 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108,098 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379,401 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298,807 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&amp;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92,804 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66,696 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252,674 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180,607 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8,026 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6,933 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22,775 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17,086 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10,310 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5,061 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34,577 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20,265 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Segment cost of sales</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380,840 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288,663 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1,066,921 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796,487 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Segment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144,476 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109,231 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421,750 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323,532 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24,523 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25,690 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76,431 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74,530 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168,999</w:t>
            </w:r>
            <w:r>
              <w:rPr>
                <w:color w:val="006098"/>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134,921</w:t>
            </w:r>
            <w:r>
              <w:rPr>
                <w:color w:val="131E29"/>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498,181</w:t>
            </w:r>
            <w:r>
              <w:rPr>
                <w:color w:val="006098"/>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398,062</w:t>
            </w:r>
            <w:r>
              <w:rPr>
                <w:color w:val="131E29"/>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(37,231)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(28,142)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(107,881)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(81,246)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(78,954)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(65,289)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(232,781)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(189,595)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(7,079)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(6,695)</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(21,337)</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(20,886)</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Income before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46,035</w:t>
            </w:r>
            <w:r>
              <w:rPr>
                <w:color w:val="006098"/>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34,944</w:t>
            </w:r>
            <w:r>
              <w:rPr>
                <w:color w:val="131E29"/>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137,268</w:t>
            </w:r>
            <w:r>
              <w:rPr>
                <w:color w:val="006098"/>
              </w:rPr>
              <w:t> </w:t>
            </w:r>
          </w:p>
        </w:tc>
        <w:tc>
          <w:tcPr>
            <w:tcW w:w="1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0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104,483</w:t>
            </w:r>
            <w:r>
              <w:rPr>
                <w:color w:val="131E29"/>
              </w:rPr>
              <w:t> </w:t>
            </w:r>
          </w:p>
        </w:tc>
        <w:tc>
          <w:tcPr>
            <w:tcW w:w="1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__________________</w:t>
      </w:r>
    </w:p>
    <w:p>
      <w:pPr>
        <w:pStyle w:val="TextBody"/>
        <w:bidi w:val="0"/>
        <w:spacing w:lineRule="auto" w:line="288" w:before="0" w:after="180"/>
        <w:ind w:left="0" w:right="0" w:hanging="180"/>
        <w:jc w:val="both"/>
      </w:pPr>
      <w:r>
        <w:rPr>
          <w:rFonts w:ascii="Arial;sans-serif" w:hAnsi="Arial;sans-serif"/>
          <w:b w:val="false"/>
          <w:color w:val="000000"/>
          <w:sz w:val="10"/>
        </w:rPr>
        <w:t>1    </w:t>
      </w:r>
      <w:r>
        <w:rPr>
          <w:rFonts w:ascii="Arial;sans-serif" w:hAnsi="Arial;sans-serif"/>
          <w:b w:val="false"/>
          <w:color w:val="000000"/>
          <w:sz w:val="16"/>
        </w:rPr>
        <w:t>Segment cost of sales for this presentation excludes the impact of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63220"/>
                <wp:effectExtent l="0" t="0" r="0" b="0"/>
                <wp:wrapNone/>
                <wp:docPr id="95" name="Frame3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bookmarkStart w:id="62" w:name="i-33"/>
                            <w:bookmarkEnd w:id="6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bookmarkStart w:id="63" w:name="i-33"/>
                      <w:bookmarkEnd w:id="6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MANAGEMENT’S DISCUSSION AND ANALYSIS OF FINANCIAL CONDITION AND RESULTS OF OPERATIONS</w:t>
      </w:r>
    </w:p>
    <w:p>
      <w:pPr>
        <w:pStyle w:val="TextBody"/>
        <w:bidi w:val="0"/>
        <w:spacing w:lineRule="auto" w:line="288" w:before="0" w:after="180"/>
        <w:jc w:val="both"/>
        <w:rPr>
          <w:rFonts w:ascii="Arial;sans-serif" w:hAnsi="Arial;sans-serif"/>
          <w:b w:val="false"/>
          <w:i/>
          <w:color w:val="131E29"/>
          <w:sz w:val="16"/>
        </w:rPr>
      </w:pPr>
      <w:r>
        <w:rPr>
          <w:rFonts w:ascii="Arial;sans-serif" w:hAnsi="Arial;sans-serif"/>
          <w:b w:val="false"/>
          <w:i/>
          <w:color w:val="131E29"/>
          <w:sz w:val="16"/>
        </w:rPr>
        <w:t>Reconciliation of GAAP to non-GAAP results is provided in the section “Non-GAAP Financial Measures” in Part I, Item 2 “Management’s Discussion and Analysis of Financial Condition and Results of Operations”. Non-GAAP financial measures included herein are segment contribution, EBITDA, adjusted EBITDA, and adjusted selling, general and administrative.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Index to Management’s Discussion and Analysis of Financial Condition and Results of Operations</w:t>
      </w:r>
    </w:p>
    <w:tbl>
      <w:tblPr>
        <w:tblW w:w="4993" w:type="dxa"/>
        <w:jc w:val="left"/>
        <w:tblInd w:w="0" w:type="dxa"/>
        <w:tblLayout w:type="fixed"/>
        <w:tblCellMar>
          <w:top w:w="28" w:type="dxa"/>
          <w:left w:w="28" w:type="dxa"/>
          <w:bottom w:w="28" w:type="dxa"/>
          <w:right w:w="28" w:type="dxa"/>
        </w:tblCellMar>
      </w:tblPr>
      <w:tblGrid>
        <w:gridCol w:w="1467"/>
        <w:gridCol w:w="1287"/>
        <w:gridCol w:w="1296"/>
        <w:gridCol w:w="109"/>
        <w:gridCol w:w="109"/>
        <w:gridCol w:w="109"/>
        <w:gridCol w:w="180"/>
        <w:gridCol w:w="180"/>
        <w:gridCol w:w="256"/>
      </w:tblGrid>
      <w:t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6098"/>
                <w:sz w:val="20"/>
              </w:rPr>
            </w:pPr>
            <w:r>
              <w:rPr>
                <w:rFonts w:ascii="Arial;sans-serif" w:hAnsi="Arial;sans-serif"/>
                <w:b/>
                <w:color w:val="006098"/>
                <w:sz w:val="20"/>
              </w:rPr>
              <w:t>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6098"/>
                <w:sz w:val="20"/>
              </w:rPr>
            </w:pPr>
            <w:r>
              <w:rPr>
                <w:rFonts w:ascii="Arial;sans-serif" w:hAnsi="Arial;sans-serif"/>
                <w:b/>
                <w:color w:val="006098"/>
                <w:sz w:val="20"/>
              </w:rPr>
              <w:t>Page</w:t>
            </w:r>
          </w:p>
        </w:tc>
      </w:tr>
      <w:tr>
        <w:tc>
          <w:tcPr>
            <w:tcW w:w="40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pPr>
            <w:hyperlink w:anchor="i14cd05f6fb404a99b00a75d57d7c96da_442">
              <w:r>
                <w:rPr>
                  <w:rStyle w:val="InternetLink"/>
                  <w:rFonts w:ascii="Arial;sans-serif" w:hAnsi="Arial;sans-serif"/>
                  <w:b w:val="false"/>
                  <w:strike w:val="false"/>
                  <w:dstrike w:val="false"/>
                  <w:color w:val="000000"/>
                  <w:sz w:val="20"/>
                  <w:u w:val="none"/>
                  <w:effect w:val="none"/>
                </w:rPr>
                <w:t>Overview</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pPr>
            <w:hyperlink w:anchor="i14cd05f6fb404a99b00a75d57d7c96da_442">
              <w:r>
                <w:rPr>
                  <w:rStyle w:val="InternetLink"/>
                  <w:rFonts w:ascii="Arial;sans-serif" w:hAnsi="Arial;sans-serif"/>
                  <w:b w:val="false"/>
                  <w:strike w:val="false"/>
                  <w:dstrike w:val="false"/>
                  <w:color w:val="000000"/>
                  <w:sz w:val="20"/>
                  <w:u w:val="none"/>
                  <w:effect w:val="none"/>
                </w:rPr>
                <w:t>33</w:t>
              </w:r>
            </w:hyperlink>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448">
              <w:r>
                <w:rPr>
                  <w:rStyle w:val="InternetLink"/>
                  <w:rFonts w:ascii="Arial;sans-serif" w:hAnsi="Arial;sans-serif"/>
                  <w:b w:val="false"/>
                  <w:strike w:val="false"/>
                  <w:dstrike w:val="false"/>
                  <w:color w:val="000000"/>
                  <w:sz w:val="20"/>
                  <w:u w:val="none"/>
                  <w:effect w:val="none"/>
                </w:rPr>
                <w:t>Impact of Global Events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448">
              <w:r>
                <w:rPr>
                  <w:rStyle w:val="InternetLink"/>
                  <w:rFonts w:ascii="Arial;sans-serif" w:hAnsi="Arial;sans-serif"/>
                  <w:b w:val="false"/>
                  <w:strike w:val="false"/>
                  <w:dstrike w:val="false"/>
                  <w:color w:val="000000"/>
                  <w:sz w:val="20"/>
                  <w:u w:val="none"/>
                  <w:effect w:val="none"/>
                </w:rPr>
                <w:t>33</w:t>
              </w:r>
            </w:hyperlink>
          </w:p>
        </w:tc>
      </w:tr>
      <w:t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454">
              <w:r>
                <w:rPr>
                  <w:rStyle w:val="InternetLink"/>
                  <w:rFonts w:ascii="Arial;sans-serif" w:hAnsi="Arial;sans-serif"/>
                  <w:b w:val="false"/>
                  <w:strike w:val="false"/>
                  <w:dstrike w:val="false"/>
                  <w:color w:val="000000"/>
                  <w:sz w:val="20"/>
                  <w:u w:val="none"/>
                  <w:effect w:val="none"/>
                </w:rPr>
                <w:t>Results of Operations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454">
              <w:r>
                <w:rPr>
                  <w:rStyle w:val="InternetLink"/>
                  <w:rFonts w:ascii="Arial;sans-serif" w:hAnsi="Arial;sans-serif"/>
                  <w:b w:val="false"/>
                  <w:strike w:val="false"/>
                  <w:dstrike w:val="false"/>
                  <w:color w:val="000000"/>
                  <w:sz w:val="20"/>
                  <w:u w:val="none"/>
                  <w:effect w:val="none"/>
                </w:rPr>
                <w:t>34</w:t>
              </w:r>
            </w:hyperlink>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457">
              <w:r>
                <w:rPr>
                  <w:rStyle w:val="InternetLink"/>
                  <w:rFonts w:ascii="Arial;sans-serif" w:hAnsi="Arial;sans-serif"/>
                  <w:b w:val="false"/>
                  <w:strike w:val="false"/>
                  <w:dstrike w:val="false"/>
                  <w:color w:val="000000"/>
                  <w:sz w:val="20"/>
                  <w:u w:val="none"/>
                  <w:effect w:val="none"/>
                </w:rPr>
                <w:t>Key Performance Indicators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457">
              <w:r>
                <w:rPr>
                  <w:rStyle w:val="InternetLink"/>
                  <w:rFonts w:ascii="Arial;sans-serif" w:hAnsi="Arial;sans-serif"/>
                  <w:b w:val="false"/>
                  <w:strike w:val="false"/>
                  <w:dstrike w:val="false"/>
                  <w:color w:val="000000"/>
                  <w:sz w:val="20"/>
                  <w:u w:val="none"/>
                  <w:effect w:val="none"/>
                </w:rPr>
                <w:t>35</w:t>
              </w:r>
            </w:hyperlink>
          </w:p>
        </w:tc>
      </w:tr>
      <w:t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460">
              <w:r>
                <w:rPr>
                  <w:rStyle w:val="InternetLink"/>
                  <w:rFonts w:ascii="Arial;sans-serif" w:hAnsi="Arial;sans-serif"/>
                  <w:b w:val="false"/>
                  <w:strike w:val="false"/>
                  <w:dstrike w:val="false"/>
                  <w:color w:val="000000"/>
                  <w:sz w:val="20"/>
                  <w:u w:val="none"/>
                  <w:effect w:val="none"/>
                </w:rPr>
                <w:t>Company-operated Shops Results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460">
              <w:r>
                <w:rPr>
                  <w:rStyle w:val="InternetLink"/>
                  <w:rFonts w:ascii="Arial;sans-serif" w:hAnsi="Arial;sans-serif"/>
                  <w:b w:val="false"/>
                  <w:strike w:val="false"/>
                  <w:dstrike w:val="false"/>
                  <w:color w:val="000000"/>
                  <w:sz w:val="20"/>
                  <w:u w:val="none"/>
                  <w:effect w:val="none"/>
                </w:rPr>
                <w:t>37</w:t>
              </w:r>
            </w:hyperlink>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547">
              <w:r>
                <w:rPr>
                  <w:rStyle w:val="InternetLink"/>
                  <w:rFonts w:ascii="Arial;sans-serif" w:hAnsi="Arial;sans-serif"/>
                  <w:b w:val="false"/>
                  <w:strike w:val="false"/>
                  <w:dstrike w:val="false"/>
                  <w:color w:val="000000"/>
                  <w:sz w:val="20"/>
                  <w:u w:val="none"/>
                  <w:effect w:val="none"/>
                </w:rPr>
                <w:t>Franchising and Other Segment Performance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547">
              <w:r>
                <w:rPr>
                  <w:rStyle w:val="InternetLink"/>
                  <w:rFonts w:ascii="Arial;sans-serif" w:hAnsi="Arial;sans-serif"/>
                  <w:b w:val="false"/>
                  <w:strike w:val="false"/>
                  <w:dstrike w:val="false"/>
                  <w:color w:val="000000"/>
                  <w:sz w:val="20"/>
                  <w:u w:val="none"/>
                  <w:effect w:val="none"/>
                </w:rPr>
                <w:t>40</w:t>
              </w:r>
            </w:hyperlink>
          </w:p>
        </w:tc>
      </w:tr>
      <w:t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562">
              <w:r>
                <w:rPr>
                  <w:rStyle w:val="InternetLink"/>
                  <w:rFonts w:ascii="Arial;sans-serif" w:hAnsi="Arial;sans-serif"/>
                  <w:b w:val="false"/>
                  <w:strike w:val="false"/>
                  <w:dstrike w:val="false"/>
                  <w:color w:val="000000"/>
                  <w:sz w:val="20"/>
                  <w:u w:val="none"/>
                  <w:effect w:val="none"/>
                </w:rPr>
                <w:t>Selling, General, and Administrative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562">
              <w:r>
                <w:rPr>
                  <w:rStyle w:val="InternetLink"/>
                  <w:rFonts w:ascii="Arial;sans-serif" w:hAnsi="Arial;sans-serif"/>
                  <w:b w:val="false"/>
                  <w:strike w:val="false"/>
                  <w:dstrike w:val="false"/>
                  <w:color w:val="000000"/>
                  <w:sz w:val="20"/>
                  <w:u w:val="none"/>
                  <w:effect w:val="none"/>
                </w:rPr>
                <w:t>40</w:t>
              </w:r>
            </w:hyperlink>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571">
              <w:r>
                <w:rPr>
                  <w:rStyle w:val="InternetLink"/>
                  <w:rFonts w:ascii="Arial;sans-serif" w:hAnsi="Arial;sans-serif"/>
                  <w:b w:val="false"/>
                  <w:strike w:val="false"/>
                  <w:dstrike w:val="false"/>
                  <w:color w:val="000000"/>
                  <w:sz w:val="20"/>
                  <w:u w:val="none"/>
                  <w:effect w:val="none"/>
                </w:rPr>
                <w:t>Other Expense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571">
              <w:r>
                <w:rPr>
                  <w:rStyle w:val="InternetLink"/>
                  <w:rFonts w:ascii="Arial;sans-serif" w:hAnsi="Arial;sans-serif"/>
                  <w:b w:val="false"/>
                  <w:strike w:val="false"/>
                  <w:dstrike w:val="false"/>
                  <w:color w:val="000000"/>
                  <w:sz w:val="20"/>
                  <w:u w:val="none"/>
                  <w:effect w:val="none"/>
                </w:rPr>
                <w:t>41</w:t>
              </w:r>
            </w:hyperlink>
          </w:p>
        </w:tc>
      </w:tr>
      <w:t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583">
              <w:r>
                <w:rPr>
                  <w:rStyle w:val="InternetLink"/>
                  <w:rFonts w:ascii="Arial;sans-serif" w:hAnsi="Arial;sans-serif"/>
                  <w:b w:val="false"/>
                  <w:strike w:val="false"/>
                  <w:dstrike w:val="false"/>
                  <w:color w:val="000000"/>
                  <w:sz w:val="20"/>
                  <w:u w:val="none"/>
                  <w:effect w:val="none"/>
                </w:rPr>
                <w:t>Income Tax Expense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583">
              <w:r>
                <w:rPr>
                  <w:rStyle w:val="InternetLink"/>
                  <w:rFonts w:ascii="Arial;sans-serif" w:hAnsi="Arial;sans-serif"/>
                  <w:b w:val="false"/>
                  <w:strike w:val="false"/>
                  <w:dstrike w:val="false"/>
                  <w:color w:val="000000"/>
                  <w:sz w:val="20"/>
                  <w:u w:val="none"/>
                  <w:effect w:val="none"/>
                </w:rPr>
                <w:t>41</w:t>
              </w:r>
            </w:hyperlink>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595">
              <w:r>
                <w:rPr>
                  <w:rStyle w:val="InternetLink"/>
                  <w:rFonts w:ascii="Arial;sans-serif" w:hAnsi="Arial;sans-serif"/>
                  <w:b w:val="false"/>
                  <w:strike w:val="false"/>
                  <w:dstrike w:val="false"/>
                  <w:color w:val="000000"/>
                  <w:sz w:val="20"/>
                  <w:u w:val="none"/>
                  <w:effect w:val="none"/>
                </w:rPr>
                <w:t>Liquidity and Capital Resources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595">
              <w:r>
                <w:rPr>
                  <w:rStyle w:val="InternetLink"/>
                  <w:rFonts w:ascii="Arial;sans-serif" w:hAnsi="Arial;sans-serif"/>
                  <w:b w:val="false"/>
                  <w:strike w:val="false"/>
                  <w:dstrike w:val="false"/>
                  <w:color w:val="000000"/>
                  <w:sz w:val="20"/>
                  <w:u w:val="none"/>
                  <w:effect w:val="none"/>
                </w:rPr>
                <w:t>42</w:t>
              </w:r>
            </w:hyperlink>
          </w:p>
        </w:tc>
      </w:tr>
      <w:t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w:anchor="i14cd05f6fb404a99b00a75d57d7c96da_637">
              <w:r>
                <w:rPr>
                  <w:rStyle w:val="InternetLink"/>
                  <w:rFonts w:ascii="Arial;sans-serif" w:hAnsi="Arial;sans-serif"/>
                  <w:b w:val="false"/>
                  <w:strike w:val="false"/>
                  <w:dstrike w:val="false"/>
                  <w:color w:val="000000"/>
                  <w:sz w:val="20"/>
                  <w:u w:val="none"/>
                  <w:effect w:val="none"/>
                </w:rPr>
                <w:t>Non-GAAP Financial Measures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pPr>
            <w:hyperlink w:anchor="i14cd05f6fb404a99b00a75d57d7c96da_637">
              <w:r>
                <w:rPr>
                  <w:rStyle w:val="InternetLink"/>
                  <w:rFonts w:ascii="Arial;sans-serif" w:hAnsi="Arial;sans-serif"/>
                  <w:b w:val="false"/>
                  <w:strike w:val="false"/>
                  <w:dstrike w:val="false"/>
                  <w:color w:val="000000"/>
                  <w:sz w:val="20"/>
                  <w:u w:val="none"/>
                  <w:effect w:val="none"/>
                </w:rPr>
                <w:t>43</w:t>
              </w:r>
            </w:hyperlink>
          </w:p>
        </w:tc>
      </w:tr>
    </w:tbl>
    <w:p>
      <w:pPr>
        <w:pStyle w:val="TextBody"/>
        <w:bidi w:val="0"/>
        <w:spacing w:before="0" w:after="180"/>
        <w:jc w:val="both"/>
      </w:pPr>
      <w:r/>
    </w:p>
    <w:p>
      <w:pPr>
        <w:pStyle w:val="TextBody"/>
        <w:bidi w:val="0"/>
        <w:spacing w:before="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63220"/>
                <wp:effectExtent l="0" t="0" r="0" b="0"/>
                <wp:wrapNone/>
                <wp:docPr id="98" name="Frame3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bookmarkStart w:id="64" w:name="i-34"/>
                            <w:bookmarkEnd w:id="6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bookmarkStart w:id="65" w:name="i-34"/>
                      <w:bookmarkEnd w:id="6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Overview</w:t>
      </w:r>
    </w:p>
    <w:p>
      <w:pPr>
        <w:pStyle w:val="TextBody"/>
        <w:bidi w:val="0"/>
        <w:spacing w:lineRule="auto" w:line="288" w:before="0" w:after="180"/>
        <w:jc w:val="both"/>
      </w:pPr>
      <w:r>
        <w:rPr>
          <w:rFonts w:ascii="Arial;sans-serif" w:hAnsi="Arial;sans-serif"/>
          <w:b w:val="false"/>
          <w:color w:val="131E29"/>
          <w:sz w:val="20"/>
        </w:rPr>
        <w:t>Dutch Bros Inc. (NYSE: BROS) is a fun-loving, mind-blowing drive-thru specialty beverage leader dedicated to making a massive difference, one cup at a time. It was founded in Grants Pass, Oregon, in 1992 and now shares its vibrant culture and fully customizable drinks at 1,273 locations as of September 30, 2026. Dutch Bros serves a wide variety of unique, handcrafted beverages such as its exclusive Dutch Bros Rebel</w:t>
      </w:r>
      <w:r>
        <w:rPr>
          <w:rFonts w:ascii="Arial;sans-serif" w:hAnsi="Arial;sans-serif"/>
          <w:b w:val="false"/>
          <w:color w:val="131E29"/>
          <w:sz w:val="13"/>
        </w:rPr>
        <w:t xml:space="preserve">® </w:t>
      </w:r>
      <w:r>
        <w:rPr>
          <w:rFonts w:ascii="Arial;sans-serif" w:hAnsi="Arial;sans-serif"/>
          <w:b w:val="false"/>
          <w:color w:val="131E29"/>
          <w:sz w:val="20"/>
        </w:rPr>
        <w:t>energy drink, Myst Energy Refresher</w:t>
      </w:r>
      <w:r>
        <w:rPr>
          <w:rFonts w:ascii="Arial;sans-serif" w:hAnsi="Arial;sans-serif"/>
          <w:b w:val="false"/>
          <w:color w:val="131E29"/>
          <w:sz w:val="13"/>
        </w:rPr>
        <w:t>TM</w:t>
      </w:r>
      <w:r>
        <w:rPr>
          <w:rFonts w:ascii="Arial;sans-serif" w:hAnsi="Arial;sans-serif"/>
          <w:b w:val="false"/>
          <w:color w:val="131E29"/>
          <w:sz w:val="20"/>
        </w:rPr>
        <w:t>, specialty coffee, nitrogen-infused cold brew, tea, lemonade, soda and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Impact of Global Events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General Macroeconomic Uncertainties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retailer that is dependent upon consumer discretionary spending, our results of operations are sensitive to changes in macroeconomic conditions. Inflation or consumer recession concerns, coupled with a rise in the U.S. unemployment rate, may have a material adverse effect on our business, financial condition or results of operations. Our customers may have or in the future may have less money available for discretionary purchases and may reduce or stop purchasing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 macro level, conditions, including changes in tariffs, tax laws, interest rates, inflation, commodity costs, geopolitical conflicts, and significant weather events, have created significant uncertainty in the global economy. We are not able to fully predict the impacts of these conditions which could materially affect our business.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Minimum Wage Increases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expect pressures from minimum wage increases to continue to affect our operating results in the foreseeable future. Several states that we operate in have increased their minimum wage requirements in recent years.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63220"/>
                <wp:effectExtent l="0" t="0" r="0" b="0"/>
                <wp:wrapNone/>
                <wp:docPr id="101" name="Frame3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bookmarkStart w:id="66" w:name="i-35"/>
                            <w:bookmarkEnd w:id="6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bookmarkStart w:id="67" w:name="i-35"/>
                      <w:bookmarkEnd w:id="6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Results of Operations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As of September 30, 2026, we had 1,273 systemwide shops in 27 states, an increase of approximately 17.8% from the same period in the prior year. For the nine months ended September 30, 2026, we generated $1,565.1 million of revenue, $112.5 million of net income, and $0.60 of income per diluted share. We have two reportable operating segments: Company-operated shops and Franchising and other. </w:t>
      </w:r>
    </w:p>
    <w:p>
      <w:pPr>
        <w:pStyle w:val="TextBody"/>
        <w:bidi w:val="0"/>
        <w:spacing w:before="0" w:after="0"/>
        <w:jc w:val="center"/>
      </w:pPr>
      <w:r>
        <w:drawing>
          <wp:inline distT="0" distB="0" distL="0" distR="0">
            <wp:extent cx="1905000" cy="2743200"/>
            <wp:effectExtent l="0" t="0" r="0" b="0"/>
            <wp:docPr id="10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6" descr=""/>
                    <pic:cNvPicPr>
                      <a:picLocks noChangeAspect="1" noChangeArrowheads="1"/>
                    </pic:cNvPicPr>
                  </pic:nvPicPr>
                  <pic:blipFill>
                    <a:blip r:embed="rId70"/>
                    <a:stretch>
                      <a:fillRect/>
                    </a:stretch>
                  </pic:blipFill>
                  <pic:spPr bwMode="auto">
                    <a:xfrm>
                      <a:off x="0" y="0"/>
                      <a:ext cx="1905000" cy="2743200"/>
                    </a:xfrm>
                    <a:prstGeom prst="rect">
                      <a:avLst/>
                    </a:prstGeom>
                  </pic:spPr>
                </pic:pic>
              </a:graphicData>
            </a:graphic>
          </wp:inline>
        </w:drawing>
      </w:r>
      <w:bookmarkStart w:id="68" w:name="i-36"/>
      <w:bookmarkEnd w:id="68"/>
      <w:r>
        <w:drawing>
          <wp:inline distT="0" distB="0" distL="0" distR="0">
            <wp:extent cx="1905000" cy="2743200"/>
            <wp:effectExtent l="0" t="0" r="0" b="0"/>
            <wp:docPr id="10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7" descr=""/>
                    <pic:cNvPicPr>
                      <a:picLocks noChangeAspect="1" noChangeArrowheads="1"/>
                    </pic:cNvPicPr>
                  </pic:nvPicPr>
                  <pic:blipFill>
                    <a:blip r:embed="rId71"/>
                    <a:stretch>
                      <a:fillRect/>
                    </a:stretch>
                  </pic:blipFill>
                  <pic:spPr bwMode="auto">
                    <a:xfrm>
                      <a:off x="0" y="0"/>
                      <a:ext cx="1905000" cy="2743200"/>
                    </a:xfrm>
                    <a:prstGeom prst="rect">
                      <a:avLst/>
                    </a:prstGeom>
                  </pic:spPr>
                </pic:pic>
              </a:graphicData>
            </a:graphic>
          </wp:inline>
        </w:drawing>
      </w:r>
      <w:bookmarkStart w:id="69" w:name="i-37"/>
      <w:bookmarkEnd w:id="69"/>
      <w:r>
        <w:drawing>
          <wp:inline distT="0" distB="0" distL="0" distR="0">
            <wp:extent cx="1905000" cy="2743200"/>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72"/>
                    <a:stretch>
                      <a:fillRect/>
                    </a:stretch>
                  </pic:blipFill>
                  <pic:spPr bwMode="auto">
                    <a:xfrm>
                      <a:off x="0" y="0"/>
                      <a:ext cx="1905000" cy="2743200"/>
                    </a:xfrm>
                    <a:prstGeom prst="rect">
                      <a:avLst/>
                    </a:prstGeom>
                  </pic:spPr>
                </pic:pic>
              </a:graphicData>
            </a:graphic>
          </wp:inline>
        </w:drawing>
      </w:r>
      <w:bookmarkStart w:id="70" w:name="i-38"/>
      <w:bookmarkEnd w:id="70"/>
    </w:p>
    <w:p>
      <w:pPr>
        <w:pStyle w:val="TextBody"/>
        <w:bidi w:val="0"/>
        <w:spacing w:before="0" w:after="180"/>
        <w:jc w:val="center"/>
      </w:pPr>
      <w:r>
        <w:drawing>
          <wp:inline distT="0" distB="0" distL="0" distR="0">
            <wp:extent cx="2466975" cy="2552700"/>
            <wp:effectExtent l="0" t="0" r="0" b="0"/>
            <wp:docPr id="10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9" descr=""/>
                    <pic:cNvPicPr>
                      <a:picLocks noChangeAspect="1" noChangeArrowheads="1"/>
                    </pic:cNvPicPr>
                  </pic:nvPicPr>
                  <pic:blipFill>
                    <a:blip r:embed="rId73"/>
                    <a:stretch>
                      <a:fillRect/>
                    </a:stretch>
                  </pic:blipFill>
                  <pic:spPr bwMode="auto">
                    <a:xfrm>
                      <a:off x="0" y="0"/>
                      <a:ext cx="2466975" cy="2552700"/>
                    </a:xfrm>
                    <a:prstGeom prst="rect">
                      <a:avLst/>
                    </a:prstGeom>
                  </pic:spPr>
                </pic:pic>
              </a:graphicData>
            </a:graphic>
          </wp:inline>
        </w:drawing>
      </w:r>
      <w:bookmarkStart w:id="71" w:name="i-39"/>
      <w:bookmarkEnd w:id="71"/>
      <w:r>
        <w:drawing>
          <wp:inline distT="0" distB="0" distL="0" distR="0">
            <wp:extent cx="2466975" cy="2552700"/>
            <wp:effectExtent l="0" t="0" r="0" b="0"/>
            <wp:docPr id="10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0" descr=""/>
                    <pic:cNvPicPr>
                      <a:picLocks noChangeAspect="1" noChangeArrowheads="1"/>
                    </pic:cNvPicPr>
                  </pic:nvPicPr>
                  <pic:blipFill>
                    <a:blip r:embed="rId74"/>
                    <a:stretch>
                      <a:fillRect/>
                    </a:stretch>
                  </pic:blipFill>
                  <pic:spPr bwMode="auto">
                    <a:xfrm>
                      <a:off x="0" y="0"/>
                      <a:ext cx="2466975" cy="2552700"/>
                    </a:xfrm>
                    <a:prstGeom prst="rect">
                      <a:avLst/>
                    </a:prstGeom>
                  </pic:spPr>
                </pic:pic>
              </a:graphicData>
            </a:graphic>
          </wp:inline>
        </w:drawing>
      </w:r>
      <w:bookmarkStart w:id="72" w:name="i-40"/>
      <w:bookmarkEnd w:id="72"/>
    </w:p>
    <w:p>
      <w:pPr>
        <w:pStyle w:val="TextBody"/>
        <w:bidi w:val="0"/>
        <w:spacing w:before="0" w:after="60"/>
        <w:jc w:val="left"/>
      </w:pPr>
      <w:r/>
    </w:p>
    <w:tbl>
      <w:tblPr>
        <w:tblW w:w="4457"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74"/>
        <w:gridCol w:w="274"/>
        <w:gridCol w:w="727"/>
        <w:gridCol w:w="109"/>
        <w:gridCol w:w="109"/>
        <w:gridCol w:w="109"/>
        <w:gridCol w:w="109"/>
        <w:gridCol w:w="154"/>
      </w:tblGrid>
      <w:t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17.8 </w:t>
            </w:r>
          </w:p>
        </w:tc>
        <w:tc>
          <w:tcPr>
            <w:tcW w:w="7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31.0 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3220"/>
                <wp:effectExtent l="0" t="0" r="0" b="0"/>
                <wp:wrapNone/>
                <wp:docPr id="109" name="Frame3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1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1"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bookmarkStart w:id="73" w:name="i-41"/>
                            <w:bookmarkEnd w:id="7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1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1"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bookmarkStart w:id="74" w:name="i-41"/>
                      <w:bookmarkEnd w:id="7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Key Performance Indicators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that we use to effectively manage and evaluate our business are as follows:</w:t>
      </w:r>
    </w:p>
    <w:tbl>
      <w:tblPr>
        <w:tblW w:w="10205" w:type="dxa"/>
        <w:jc w:val="left"/>
        <w:tblInd w:w="0" w:type="dxa"/>
        <w:tblLayout w:type="fixed"/>
        <w:tblCellMar>
          <w:top w:w="28" w:type="dxa"/>
          <w:left w:w="28" w:type="dxa"/>
          <w:bottom w:w="28" w:type="dxa"/>
          <w:right w:w="28" w:type="dxa"/>
        </w:tblCellMar>
      </w:tblPr>
      <w:tblGrid>
        <w:gridCol w:w="1412"/>
        <w:gridCol w:w="699"/>
        <w:gridCol w:w="691"/>
        <w:gridCol w:w="109"/>
        <w:gridCol w:w="109"/>
        <w:gridCol w:w="109"/>
        <w:gridCol w:w="217"/>
        <w:gridCol w:w="881"/>
        <w:gridCol w:w="294"/>
        <w:gridCol w:w="112"/>
        <w:gridCol w:w="112"/>
        <w:gridCol w:w="112"/>
        <w:gridCol w:w="217"/>
        <w:gridCol w:w="881"/>
        <w:gridCol w:w="294"/>
        <w:gridCol w:w="109"/>
        <w:gridCol w:w="109"/>
        <w:gridCol w:w="109"/>
        <w:gridCol w:w="211"/>
        <w:gridCol w:w="1021"/>
        <w:gridCol w:w="286"/>
        <w:gridCol w:w="109"/>
        <w:gridCol w:w="109"/>
        <w:gridCol w:w="109"/>
        <w:gridCol w:w="211"/>
        <w:gridCol w:w="1021"/>
        <w:gridCol w:w="286"/>
        <w:gridCol w:w="109"/>
        <w:gridCol w:w="157"/>
      </w:tblGrid>
      <w:tr>
        <w:tc>
          <w:tcPr>
            <w:tcW w:w="141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266" w:type="dxa"/>
            <w:gridSpan w:val="2"/>
            <w:tcBorders/>
          </w:tcPr>
          <w:p>
            <w:pPr>
              <w:pStyle w:val="TableContents"/>
              <w:bidi w:val="0"/>
              <w:spacing w:before="0" w:after="283"/>
              <w:jc w:val="left"/>
              <w:rPr>
                <w:sz w:val="4"/>
                <w:szCs w:val="4"/>
              </w:rPr>
            </w:pPr>
            <w:r>
              <w:rPr>
                <w:sz w:val="4"/>
                <w:szCs w:val="4"/>
              </w:rPr>
            </w:r>
          </w:p>
        </w:tc>
      </w:tr>
      <w:tr>
        <w:tc>
          <w:tcPr>
            <w:tcW w:w="2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337 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318 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325 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312 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1,225</w:t>
            </w:r>
            <w:r>
              <w:rPr>
                <w:color w:val="006098"/>
              </w:rPr>
              <w:t>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1,043 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1,136</w:t>
            </w:r>
            <w:r>
              <w:rPr>
                <w:color w:val="006098"/>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982</w:t>
            </w:r>
            <w:r>
              <w:rPr>
                <w:color w:val="131E29"/>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 of franchise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960 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759 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960 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759 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322 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1,273</w:t>
            </w:r>
            <w:r>
              <w:rPr>
                <w:color w:val="006098"/>
              </w:rPr>
              <w:t> </w:t>
            </w:r>
          </w:p>
        </w:tc>
        <w:tc>
          <w:tcPr>
            <w:tcW w:w="29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1,081 </w:t>
            </w:r>
          </w:p>
        </w:tc>
        <w:tc>
          <w:tcPr>
            <w:tcW w:w="29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1,273</w:t>
            </w:r>
            <w:r>
              <w:rPr>
                <w:color w:val="006098"/>
              </w:rPr>
              <w:t> </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1,081</w:t>
            </w:r>
            <w:r>
              <w:rPr>
                <w:color w:val="131E29"/>
              </w:rPr>
              <w:t> </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Systemwide AUV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N/A</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2,226 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2,081 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Company-operated shops AUV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N/A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Systemwide same shop sales </w:t>
            </w:r>
            <w:r>
              <w:rPr>
                <w:rFonts w:ascii="Arial;sans-serif" w:hAnsi="Arial;sans-serif"/>
                <w:b w:val="false"/>
                <w:color w:val="131E29"/>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5.7 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Customer visits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0.4 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4.7 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Company-operated same shop sales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7.4 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7.9 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Customer visits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5.0 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Systemwide sales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8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702,210 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8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576,886 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2,015,169 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1,637,831 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Company-operated shops operating weeks </w:t>
            </w:r>
            <w:r>
              <w:rPr>
                <w:rFonts w:ascii="Arial;sans-serif" w:hAnsi="Arial;sans-serif"/>
                <w:b w:val="false"/>
                <w:color w:val="131E29"/>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12,180 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9,645 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33,862 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27,566 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Franchising shops operating weeks </w:t>
            </w:r>
            <w:r>
              <w:rPr>
                <w:rFonts w:ascii="Arial;sans-serif" w:hAnsi="Arial;sans-serif"/>
                <w:b w:val="false"/>
                <w:color w:val="131E29"/>
                <w:sz w:val="13"/>
              </w:rPr>
              <w:t>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4,174 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4,192 </w:t>
            </w:r>
          </w:p>
        </w:tc>
        <w:tc>
          <w:tcPr>
            <w:tcW w:w="2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12,757 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12,322 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80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131E29"/>
                <w:sz w:val="20"/>
              </w:rPr>
              <w:t xml:space="preserve">Dutch Rewards customer visits as a percentage of total customer visits </w:t>
            </w:r>
            <w:r>
              <w:rPr>
                <w:rFonts w:ascii="Arial;sans-serif" w:hAnsi="Arial;sans-serif"/>
                <w:b w:val="false"/>
                <w:color w:val="131E29"/>
                <w:sz w:val="13"/>
              </w:rPr>
              <w:t>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74 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29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74 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63220"/>
                <wp:effectExtent l="0" t="0" r="0" b="0"/>
                <wp:wrapNone/>
                <wp:docPr id="112" name="Frame3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1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2"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bookmarkStart w:id="75" w:name="i-42"/>
                            <w:bookmarkEnd w:id="7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2"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bookmarkStart w:id="76" w:name="i-42"/>
                      <w:bookmarkEnd w:id="7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tbl>
      <w:tblPr>
        <w:tblW w:w="12063" w:type="dxa"/>
        <w:jc w:val="left"/>
        <w:tblInd w:w="0" w:type="dxa"/>
        <w:tblLayout w:type="fixed"/>
        <w:tblCellMar>
          <w:top w:w="28" w:type="dxa"/>
          <w:left w:w="28" w:type="dxa"/>
          <w:bottom w:w="28" w:type="dxa"/>
          <w:right w:w="28" w:type="dxa"/>
        </w:tblCellMar>
      </w:tblPr>
      <w:tblGrid>
        <w:gridCol w:w="901"/>
        <w:gridCol w:w="557"/>
        <w:gridCol w:w="298"/>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154"/>
      </w:tblGrid>
      <w:tr>
        <w:tc>
          <w:tcPr>
            <w:tcW w:w="90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Nine Months Ended </w:t>
              <w:br/>
              <w:t>September 30,</w:t>
            </w:r>
          </w:p>
        </w:tc>
        <w:tc>
          <w:tcPr>
            <w:tcW w:w="481" w:type="dxa"/>
            <w:gridSpan w:val="4"/>
            <w:tcBorders/>
          </w:tcPr>
          <w:p>
            <w:pPr>
              <w:pStyle w:val="TableContents"/>
              <w:bidi w:val="0"/>
              <w:spacing w:before="0" w:after="283"/>
              <w:jc w:val="left"/>
              <w:rPr>
                <w:sz w:val="4"/>
                <w:szCs w:val="4"/>
              </w:rPr>
            </w:pPr>
            <w:r>
              <w:rPr>
                <w:sz w:val="4"/>
                <w:szCs w:val="4"/>
              </w:rPr>
            </w:r>
          </w:p>
        </w:tc>
      </w:tr>
      <w:t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515,006 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392,833 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1,454,094 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1,099,754 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246,485 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144,476 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109,231 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421,750 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323,532 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Adjusted selling, general, and administrative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69,573 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57,639 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207,576 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169,845 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Adjusted EBITDA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101,055 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78,003 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294,142 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229,912 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pPr>
      <w:r>
        <w:rPr>
          <w:rFonts w:ascii="Arial;sans-serif" w:hAnsi="Arial;sans-serif"/>
          <w:b w:val="false"/>
          <w:color w:val="000000"/>
          <w:sz w:val="10"/>
        </w:rPr>
        <w:t>1    </w:t>
      </w:r>
      <w:r>
        <w:rPr>
          <w:rFonts w:ascii="Arial;sans-serif" w:hAnsi="Arial;sans-serif"/>
          <w:b w:val="false"/>
          <w:color w:val="000000"/>
          <w:sz w:val="16"/>
        </w:rPr>
        <w:t xml:space="preserve">Starting in 2026, AUVs are determined based on the net sales for any trailing twelve-month period for systemwide and company-operated shops, and same shop sales represent the percentage change in year-over-year sales, for the comparable shop base, that have been open at least 15 complete months as of the first day of the quarterly reporting period. Prior to 2026, AUVs were determined based on shops that had been open a minimum of 15 months, and same shop base was defined as shops open for 15 complete months or longer as of the first day of the reporting period. Prior period numbers have not been adjusted to conform to the new definition as the changes did not have a material impact. AUVs are calculated by dividing the systemwide and company-operated shops net sales by the total number of systemwide and company-operated shops, respectively. For the three and nine months ended September 30, 2026, the calculation of AUV for company-operated shops includes trailing twelve-month net sales related to the reacquired franchise shops that have been open at least 15 complete months (see </w:t>
      </w:r>
      <w:r>
        <w:rPr>
          <w:rFonts w:ascii="Arial;sans-serif" w:hAnsi="Arial;sans-serif"/>
          <w:b w:val="false"/>
          <w:color w:val="131E29"/>
          <w:sz w:val="16"/>
        </w:rPr>
        <w:t>NOTE 4 — Acquisitions)</w:t>
      </w:r>
      <w:r>
        <w:rPr>
          <w:rFonts w:ascii="Arial;sans-serif" w:hAnsi="Arial;sans-serif"/>
          <w:b w:val="false"/>
          <w:color w:val="000000"/>
          <w:sz w:val="16"/>
        </w:rPr>
        <w:t>. Management uses these metrics as an indicator of shop growth, expectations of mature locations, and future expansion strategy. The number of shops included in the systemwide and company-operated comparable bases for the respective periods are presented in the following table.</w:t>
      </w:r>
    </w:p>
    <w:tbl>
      <w:tblPr>
        <w:tblW w:w="9106" w:type="dxa"/>
        <w:jc w:val="left"/>
        <w:tblInd w:w="0" w:type="dxa"/>
        <w:tblLayout w:type="fixed"/>
        <w:tblCellMar>
          <w:top w:w="28" w:type="dxa"/>
          <w:left w:w="28" w:type="dxa"/>
          <w:bottom w:w="28" w:type="dxa"/>
          <w:right w:w="28" w:type="dxa"/>
        </w:tblCellMar>
      </w:tblPr>
      <w:tblGrid>
        <w:gridCol w:w="879"/>
        <w:gridCol w:w="772"/>
        <w:gridCol w:w="778"/>
        <w:gridCol w:w="109"/>
        <w:gridCol w:w="109"/>
        <w:gridCol w:w="109"/>
        <w:gridCol w:w="325"/>
        <w:gridCol w:w="325"/>
        <w:gridCol w:w="325"/>
        <w:gridCol w:w="325"/>
        <w:gridCol w:w="325"/>
        <w:gridCol w:w="325"/>
        <w:gridCol w:w="325"/>
        <w:gridCol w:w="325"/>
        <w:gridCol w:w="325"/>
        <w:gridCol w:w="109"/>
        <w:gridCol w:w="109"/>
        <w:gridCol w:w="109"/>
        <w:gridCol w:w="315"/>
        <w:gridCol w:w="315"/>
        <w:gridCol w:w="315"/>
        <w:gridCol w:w="315"/>
        <w:gridCol w:w="315"/>
        <w:gridCol w:w="315"/>
        <w:gridCol w:w="315"/>
        <w:gridCol w:w="315"/>
        <w:gridCol w:w="315"/>
        <w:gridCol w:w="109"/>
        <w:gridCol w:w="154"/>
      </w:tblGrid>
      <w:t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2026</w:t>
            </w:r>
          </w:p>
        </w:tc>
        <w:tc>
          <w:tcPr>
            <w:tcW w:w="97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2026</w:t>
            </w:r>
          </w:p>
        </w:tc>
        <w:tc>
          <w:tcPr>
            <w:tcW w:w="94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1,012 </w:t>
            </w:r>
          </w:p>
        </w:tc>
        <w:tc>
          <w:tcPr>
            <w:tcW w:w="32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876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1,012 </w:t>
            </w:r>
          </w:p>
        </w:tc>
        <w:tc>
          <w:tcPr>
            <w:tcW w:w="31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Company-operated shops 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724</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724</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pPr>
      <w:r>
        <w:rPr>
          <w:rFonts w:ascii="Arial;sans-serif" w:hAnsi="Arial;sans-serif"/>
          <w:b w:val="false"/>
          <w:color w:val="000000"/>
          <w:sz w:val="10"/>
        </w:rPr>
        <w:t>2    </w:t>
      </w:r>
      <w:r>
        <w:rPr>
          <w:rFonts w:ascii="Arial;sans-serif" w:hAnsi="Arial;sans-serif"/>
          <w:b w:val="false"/>
          <w:color w:val="000000"/>
          <w:sz w:val="16"/>
        </w:rPr>
        <w:t xml:space="preserve">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 </w:t>
      </w:r>
    </w:p>
    <w:p>
      <w:pPr>
        <w:pStyle w:val="TextBody"/>
        <w:bidi w:val="0"/>
        <w:spacing w:lineRule="auto" w:line="288" w:before="0" w:after="0"/>
        <w:ind w:left="0" w:right="0" w:hanging="180"/>
        <w:jc w:val="both"/>
      </w:pPr>
      <w:r>
        <w:rPr>
          <w:rFonts w:ascii="Arial;sans-serif" w:hAnsi="Arial;sans-serif"/>
          <w:b w:val="false"/>
          <w:color w:val="000000"/>
          <w:sz w:val="10"/>
        </w:rPr>
        <w:t>3    </w:t>
      </w:r>
      <w:r>
        <w:rPr>
          <w:rFonts w:ascii="Arial;sans-serif" w:hAnsi="Arial;sans-serif"/>
          <w:b w:val="false"/>
          <w:color w:val="000000"/>
          <w:sz w:val="16"/>
        </w:rPr>
        <w:t>Company-operated and franchise shops operating weeks are calculated based on the number of operating days for the shop base and dividing by 7. Our shop base is defined as shops opened as of the period end date. Management uses these metrics as indicators of our system’s overall financial health, growth and future expansion prospects.</w:t>
      </w:r>
    </w:p>
    <w:p>
      <w:pPr>
        <w:pStyle w:val="TextBody"/>
        <w:bidi w:val="0"/>
        <w:spacing w:lineRule="auto" w:line="288" w:before="0" w:after="180"/>
        <w:ind w:left="0" w:right="0" w:hanging="180"/>
        <w:jc w:val="both"/>
      </w:pPr>
      <w:r>
        <w:rPr>
          <w:rFonts w:ascii="Arial;sans-serif" w:hAnsi="Arial;sans-serif"/>
          <w:b w:val="false"/>
          <w:color w:val="000000"/>
          <w:sz w:val="10"/>
        </w:rPr>
        <w:t>4    </w:t>
      </w:r>
      <w:r>
        <w:rPr>
          <w:rFonts w:ascii="Arial;sans-serif" w:hAnsi="Arial;sans-serif"/>
          <w:b w:val="false"/>
          <w:color w:val="000000"/>
          <w:sz w:val="16"/>
        </w:rPr>
        <w:t xml:space="preserve">Dutch Rewards is our app-based digital loyalty program. Management uses this metric as an indicator of customer loyalty adoption of our Dutch Rewards app and future promotional plans. </w:t>
      </w:r>
    </w:p>
    <w:p>
      <w:pPr>
        <w:pStyle w:val="TextBody"/>
        <w:bidi w:val="0"/>
        <w:spacing w:before="0" w:after="180"/>
        <w:ind w:left="0" w:right="0" w:hanging="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63220"/>
                <wp:effectExtent l="0" t="0" r="0" b="0"/>
                <wp:wrapNone/>
                <wp:docPr id="115" name="Frame3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3"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bookmarkStart w:id="77" w:name="i-43"/>
                            <w:bookmarkEnd w:id="7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1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3"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bookmarkStart w:id="78" w:name="i-43"/>
                      <w:bookmarkEnd w:id="7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pPr>
      <w:r>
        <w:rPr>
          <w:rFonts w:ascii="Arial;sans-serif" w:hAnsi="Arial;sans-serif"/>
          <w:b/>
          <w:color w:val="00416B"/>
          <w:sz w:val="24"/>
        </w:rPr>
        <w:t>Company-operated Sho</w:t>
      </w:r>
      <w:r>
        <w:rPr>
          <w:rFonts w:ascii="Arial;sans-serif" w:hAnsi="Arial;sans-serif"/>
          <w:b/>
          <w:color w:val="00497F"/>
          <w:sz w:val="24"/>
        </w:rPr>
        <w:t>ps</w:t>
      </w:r>
      <w:r>
        <w:rPr>
          <w:color w:val="00416B"/>
        </w:rPr>
        <w:t xml:space="preserve"> </w:t>
      </w:r>
      <w:r>
        <w:rPr>
          <w:rFonts w:ascii="Arial;sans-serif" w:hAnsi="Arial;sans-serif"/>
          <w:b/>
          <w:color w:val="00416B"/>
          <w:sz w:val="24"/>
        </w:rPr>
        <w:t>Results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Results for our company-operated shops segment were as follows:</w:t>
      </w:r>
    </w:p>
    <w:tbl>
      <w:tblPr>
        <w:tblW w:w="12183" w:type="dxa"/>
        <w:jc w:val="left"/>
        <w:tblInd w:w="0" w:type="dxa"/>
        <w:tblLayout w:type="fixed"/>
        <w:tblCellMar>
          <w:top w:w="28" w:type="dxa"/>
          <w:left w:w="28" w:type="dxa"/>
          <w:bottom w:w="28" w:type="dxa"/>
          <w:right w:w="28" w:type="dxa"/>
        </w:tblCellMar>
      </w:tblPr>
      <w:tblGrid>
        <w:gridCol w:w="901"/>
        <w:gridCol w:w="677"/>
        <w:gridCol w:w="298"/>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154"/>
      </w:tblGrid>
      <w:t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Nine Months Ended </w:t>
              <w:br/>
              <w:t>September 30,</w:t>
            </w:r>
          </w:p>
        </w:tc>
        <w:tc>
          <w:tcPr>
            <w:tcW w:w="481" w:type="dxa"/>
            <w:gridSpan w:val="4"/>
            <w:tcBorders/>
          </w:tcPr>
          <w:p>
            <w:pPr>
              <w:pStyle w:val="TableContents"/>
              <w:bidi w:val="0"/>
              <w:spacing w:before="0" w:after="283"/>
              <w:jc w:val="left"/>
              <w:rPr>
                <w:sz w:val="4"/>
                <w:szCs w:val="4"/>
              </w:rPr>
            </w:pPr>
            <w:r>
              <w:rPr>
                <w:sz w:val="4"/>
                <w:szCs w:val="4"/>
              </w:rPr>
            </w:r>
          </w:p>
        </w:tc>
      </w:tr>
      <w:t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Company-operated shops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515,006</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100.0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392,833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100.0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1,454,094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100.0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1,099,754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100.0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132,064 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101,875 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377,494 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279,722 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92,804 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66,696 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252,674 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180,607 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34,997 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26,796 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103,188 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77,047 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405,527 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310,398 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1,135,532 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853,269 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Company-operated shops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109,479</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21.3</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82,435</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21.0</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318,562</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21.9</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246,485</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22.4</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144,476 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109,231 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421,750 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323,532 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Company-operated Shops Segment Performance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Company-operated Shops Revenue</w:t>
      </w:r>
    </w:p>
    <w:tbl>
      <w:tblPr>
        <w:tblW w:w="11574"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294"/>
        <w:gridCol w:w="294"/>
        <w:gridCol w:w="298"/>
        <w:gridCol w:w="109"/>
        <w:gridCol w:w="109"/>
        <w:gridCol w:w="109"/>
        <w:gridCol w:w="294"/>
        <w:gridCol w:w="294"/>
        <w:gridCol w:w="298"/>
        <w:gridCol w:w="109"/>
        <w:gridCol w:w="109"/>
        <w:gridCol w:w="109"/>
        <w:gridCol w:w="295"/>
        <w:gridCol w:w="295"/>
        <w:gridCol w:w="296"/>
        <w:gridCol w:w="109"/>
        <w:gridCol w:w="109"/>
        <w:gridCol w:w="109"/>
        <w:gridCol w:w="155"/>
        <w:gridCol w:w="155"/>
        <w:gridCol w:w="156"/>
        <w:gridCol w:w="109"/>
        <w:gridCol w:w="109"/>
        <w:gridCol w:w="109"/>
        <w:gridCol w:w="352"/>
        <w:gridCol w:w="352"/>
        <w:gridCol w:w="332"/>
        <w:gridCol w:w="109"/>
        <w:gridCol w:w="109"/>
        <w:gridCol w:w="109"/>
        <w:gridCol w:w="352"/>
        <w:gridCol w:w="352"/>
        <w:gridCol w:w="332"/>
        <w:gridCol w:w="109"/>
        <w:gridCol w:w="109"/>
        <w:gridCol w:w="109"/>
        <w:gridCol w:w="109"/>
        <w:gridCol w:w="109"/>
        <w:gridCol w:w="295"/>
        <w:gridCol w:w="295"/>
        <w:gridCol w:w="296"/>
        <w:gridCol w:w="109"/>
        <w:gridCol w:w="109"/>
        <w:gridCol w:w="109"/>
        <w:gridCol w:w="155"/>
        <w:gridCol w:w="155"/>
        <w:gridCol w:w="156"/>
        <w:gridCol w:w="109"/>
        <w:gridCol w:w="109"/>
        <w:gridCol w:w="109"/>
        <w:gridCol w:w="154"/>
      </w:tblGrid>
      <w:t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shops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$515,006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$392,833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$122,173</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$1,454,094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$1,099,754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$354,340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Company-operated shops revenue increased $101.4 million from newly opened shops not yet in the comparable shop base and reacquired franchise shop sales; and $20.7 million from a 5.4% increase in same shop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Company-operated shops revenue increased $271.3 million primarily from newly opened shops not yet in the comparable shop base and $83.1 million from a 7.9% increase in same shop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63220"/>
                <wp:effectExtent l="0" t="0" r="0" b="0"/>
                <wp:wrapNone/>
                <wp:docPr id="118" name="Frame3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bookmarkStart w:id="79" w:name="i-44"/>
                            <w:bookmarkEnd w:id="7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2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4"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bookmarkStart w:id="80" w:name="i-44"/>
                      <w:bookmarkEnd w:id="8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Beverage, Food, and Packaging Costs</w:t>
      </w:r>
    </w:p>
    <w:tbl>
      <w:tblPr>
        <w:tblW w:w="11019" w:type="dxa"/>
        <w:jc w:val="left"/>
        <w:tblInd w:w="0" w:type="dxa"/>
        <w:tblLayout w:type="fixed"/>
        <w:tblCellMar>
          <w:top w:w="28" w:type="dxa"/>
          <w:left w:w="28" w:type="dxa"/>
          <w:bottom w:w="28" w:type="dxa"/>
          <w:right w:w="28" w:type="dxa"/>
        </w:tblCellMar>
      </w:tblPr>
      <w:tblGrid>
        <w:gridCol w:w="1072"/>
        <w:gridCol w:w="296"/>
        <w:gridCol w:w="298"/>
        <w:gridCol w:w="109"/>
        <w:gridCol w:w="109"/>
        <w:gridCol w:w="109"/>
        <w:gridCol w:w="294"/>
        <w:gridCol w:w="294"/>
        <w:gridCol w:w="298"/>
        <w:gridCol w:w="109"/>
        <w:gridCol w:w="109"/>
        <w:gridCol w:w="109"/>
        <w:gridCol w:w="294"/>
        <w:gridCol w:w="294"/>
        <w:gridCol w:w="298"/>
        <w:gridCol w:w="109"/>
        <w:gridCol w:w="109"/>
        <w:gridCol w:w="109"/>
        <w:gridCol w:w="260"/>
        <w:gridCol w:w="260"/>
        <w:gridCol w:w="261"/>
        <w:gridCol w:w="109"/>
        <w:gridCol w:w="109"/>
        <w:gridCol w:w="109"/>
        <w:gridCol w:w="155"/>
        <w:gridCol w:w="155"/>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c>
          <w:tcPr>
            <w:tcW w:w="10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$132,064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$101,875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$30,189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$377,494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$279,722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$97,772</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beverage, food and packaging costs decreased by 30 basis points. This was primarily due to the collection of tariff refunds partially offset by the costs associated with our new food program, which typically carry a higher cost margin than beverages.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beverage, food and packaging costs increased by 60 basis points. This was primarily due to an increase in coffee costs and the costs associated with our new food program, partially offset by the collection of tariff refunds.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Labor Costs</w:t>
      </w:r>
    </w:p>
    <w:tbl>
      <w:tblPr>
        <w:tblW w:w="11094"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294"/>
        <w:gridCol w:w="294"/>
        <w:gridCol w:w="298"/>
        <w:gridCol w:w="109"/>
        <w:gridCol w:w="109"/>
        <w:gridCol w:w="109"/>
        <w:gridCol w:w="294"/>
        <w:gridCol w:w="294"/>
        <w:gridCol w:w="298"/>
        <w:gridCol w:w="109"/>
        <w:gridCol w:w="109"/>
        <w:gridCol w:w="109"/>
        <w:gridCol w:w="260"/>
        <w:gridCol w:w="260"/>
        <w:gridCol w:w="261"/>
        <w:gridCol w:w="109"/>
        <w:gridCol w:w="109"/>
        <w:gridCol w:w="109"/>
        <w:gridCol w:w="155"/>
        <w:gridCol w:w="155"/>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209"/>
        <w:gridCol w:w="176"/>
        <w:gridCol w:w="156"/>
        <w:gridCol w:w="109"/>
        <w:gridCol w:w="109"/>
        <w:gridCol w:w="109"/>
        <w:gridCol w:w="154"/>
      </w:tblGrid>
      <w:t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49" w:type="dxa"/>
            <w:gridSpan w:val="10"/>
            <w:tcBorders/>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shd w:fill="D2DCE5" w:val="clear"/>
              </w:rPr>
            </w:pPr>
            <w:r>
              <w:rPr>
                <w:rFonts w:ascii="Arial;sans-serif" w:hAnsi="Arial;sans-serif"/>
                <w:b w:val="false"/>
                <w:color w:val="131E29"/>
                <w:sz w:val="18"/>
                <w:shd w:fill="D2DCE5" w:val="clear"/>
              </w:rPr>
              <w:t>Labor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$137,636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$108,098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$29,538</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$379,401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$298,807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$80,594</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labor costs decreased by 80 basis points and 120 basis points for the three and nine months ended September 30, 2026, respectively. The decreases were primarily due to sales leverage and the impact of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Occupancy and Other Costs</w:t>
      </w:r>
    </w:p>
    <w:tbl>
      <w:tblPr>
        <w:tblW w:w="10809"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259"/>
        <w:gridCol w:w="259"/>
        <w:gridCol w:w="263"/>
        <w:gridCol w:w="109"/>
        <w:gridCol w:w="109"/>
        <w:gridCol w:w="109"/>
        <w:gridCol w:w="259"/>
        <w:gridCol w:w="259"/>
        <w:gridCol w:w="263"/>
        <w:gridCol w:w="109"/>
        <w:gridCol w:w="109"/>
        <w:gridCol w:w="109"/>
        <w:gridCol w:w="260"/>
        <w:gridCol w:w="260"/>
        <w:gridCol w:w="261"/>
        <w:gridCol w:w="109"/>
        <w:gridCol w:w="109"/>
        <w:gridCol w:w="109"/>
        <w:gridCol w:w="155"/>
        <w:gridCol w:w="155"/>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$92,804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$66,696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$26,108</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39.1%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$252,674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$180,607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$72,067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occupancy and other costs increased by 100 basis points for the three and nine months ended September 30, 2026, primarily due to higher rent on new shops as we shifted more of our portfolio to build-to-suit leases, and higher expenses on utilities and other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63220"/>
                <wp:effectExtent l="0" t="0" r="0" b="0"/>
                <wp:wrapNone/>
                <wp:docPr id="121" name="Frame4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2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5"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bookmarkStart w:id="81" w:name="i-45"/>
                            <w:bookmarkEnd w:id="8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2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5"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bookmarkStart w:id="82" w:name="i-45"/>
                      <w:bookmarkEnd w:id="8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Pre-opening Costs</w:t>
      </w:r>
    </w:p>
    <w:tbl>
      <w:tblPr>
        <w:tblW w:w="10205" w:type="dxa"/>
        <w:jc w:val="left"/>
        <w:tblInd w:w="0" w:type="dxa"/>
        <w:tblLayout w:type="fixed"/>
        <w:tblCellMar>
          <w:top w:w="28" w:type="dxa"/>
          <w:left w:w="28" w:type="dxa"/>
          <w:bottom w:w="28" w:type="dxa"/>
          <w:right w:w="28" w:type="dxa"/>
        </w:tblCellMar>
      </w:tblPr>
      <w:tblGrid>
        <w:gridCol w:w="905"/>
        <w:gridCol w:w="472"/>
        <w:gridCol w:w="304"/>
        <w:gridCol w:w="109"/>
        <w:gridCol w:w="109"/>
        <w:gridCol w:w="109"/>
        <w:gridCol w:w="224"/>
        <w:gridCol w:w="224"/>
        <w:gridCol w:w="228"/>
        <w:gridCol w:w="109"/>
        <w:gridCol w:w="109"/>
        <w:gridCol w:w="109"/>
        <w:gridCol w:w="224"/>
        <w:gridCol w:w="224"/>
        <w:gridCol w:w="228"/>
        <w:gridCol w:w="109"/>
        <w:gridCol w:w="109"/>
        <w:gridCol w:w="109"/>
        <w:gridCol w:w="225"/>
        <w:gridCol w:w="225"/>
        <w:gridCol w:w="226"/>
        <w:gridCol w:w="109"/>
        <w:gridCol w:w="109"/>
        <w:gridCol w:w="109"/>
        <w:gridCol w:w="155"/>
        <w:gridCol w:w="155"/>
        <w:gridCol w:w="156"/>
        <w:gridCol w:w="109"/>
        <w:gridCol w:w="109"/>
        <w:gridCol w:w="109"/>
        <w:gridCol w:w="265"/>
        <w:gridCol w:w="265"/>
        <w:gridCol w:w="251"/>
        <w:gridCol w:w="109"/>
        <w:gridCol w:w="109"/>
        <w:gridCol w:w="109"/>
        <w:gridCol w:w="265"/>
        <w:gridCol w:w="265"/>
        <w:gridCol w:w="251"/>
        <w:gridCol w:w="109"/>
        <w:gridCol w:w="109"/>
        <w:gridCol w:w="109"/>
        <w:gridCol w:w="109"/>
        <w:gridCol w:w="109"/>
        <w:gridCol w:w="225"/>
        <w:gridCol w:w="225"/>
        <w:gridCol w:w="226"/>
        <w:gridCol w:w="109"/>
        <w:gridCol w:w="109"/>
        <w:gridCol w:w="109"/>
        <w:gridCol w:w="155"/>
        <w:gridCol w:w="155"/>
        <w:gridCol w:w="156"/>
        <w:gridCol w:w="109"/>
        <w:gridCol w:w="109"/>
        <w:gridCol w:w="109"/>
        <w:gridCol w:w="165"/>
      </w:tblGrid>
      <w:tr>
        <w:tc>
          <w:tcPr>
            <w:tcW w:w="90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85" w:type="dxa"/>
            <w:gridSpan w:val="10"/>
            <w:tcBorders/>
          </w:tcPr>
          <w:p>
            <w:pPr>
              <w:pStyle w:val="TableContents"/>
              <w:bidi w:val="0"/>
              <w:spacing w:before="0" w:after="283"/>
              <w:jc w:val="left"/>
              <w:rPr>
                <w:sz w:val="4"/>
                <w:szCs w:val="4"/>
              </w:rPr>
            </w:pPr>
            <w:r>
              <w:rPr>
                <w:sz w:val="4"/>
                <w:szCs w:val="4"/>
              </w:rPr>
            </w:r>
          </w:p>
        </w:tc>
      </w:tr>
      <w:tr>
        <w:tc>
          <w:tcPr>
            <w:tcW w:w="16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c>
          <w:tcPr>
            <w:tcW w:w="16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$8,026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$6,933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$1,093</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$22,775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$17,086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$5,689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131E29"/>
              </w:rPr>
            </w:pPr>
            <w:r>
              <w:rPr>
                <w:color w:val="131E29"/>
              </w:rPr>
              <w:t xml:space="preserve">— </w:t>
            </w:r>
            <w:r>
              <w:rPr>
                <w:rFonts w:ascii="Arial;sans-serif" w:hAnsi="Arial;sans-serif"/>
                <w:b w:val="false"/>
                <w:color w:val="131E29"/>
                <w:sz w:val="18"/>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6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New company-operated shops opened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42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119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 per new company-operated shop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pre-opening costs was primarily driven by increased travel for setup and training teams, and lease expense related to unopened shops in the three and nine months ended September 30, 2026 as compared to the same period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Depreciation and Amortization</w:t>
      </w:r>
    </w:p>
    <w:tbl>
      <w:tblPr>
        <w:tblW w:w="10599" w:type="dxa"/>
        <w:jc w:val="left"/>
        <w:tblInd w:w="0" w:type="dxa"/>
        <w:tblLayout w:type="fixed"/>
        <w:tblCellMar>
          <w:top w:w="28" w:type="dxa"/>
          <w:left w:w="28" w:type="dxa"/>
          <w:bottom w:w="28" w:type="dxa"/>
          <w:right w:w="28" w:type="dxa"/>
        </w:tblCellMar>
      </w:tblPr>
      <w:tblGrid>
        <w:gridCol w:w="934"/>
        <w:gridCol w:w="434"/>
        <w:gridCol w:w="298"/>
        <w:gridCol w:w="109"/>
        <w:gridCol w:w="109"/>
        <w:gridCol w:w="109"/>
        <w:gridCol w:w="259"/>
        <w:gridCol w:w="259"/>
        <w:gridCol w:w="263"/>
        <w:gridCol w:w="109"/>
        <w:gridCol w:w="109"/>
        <w:gridCol w:w="109"/>
        <w:gridCol w:w="259"/>
        <w:gridCol w:w="259"/>
        <w:gridCol w:w="263"/>
        <w:gridCol w:w="109"/>
        <w:gridCol w:w="109"/>
        <w:gridCol w:w="109"/>
        <w:gridCol w:w="225"/>
        <w:gridCol w:w="225"/>
        <w:gridCol w:w="226"/>
        <w:gridCol w:w="109"/>
        <w:gridCol w:w="109"/>
        <w:gridCol w:w="109"/>
        <w:gridCol w:w="155"/>
        <w:gridCol w:w="155"/>
        <w:gridCol w:w="156"/>
        <w:gridCol w:w="109"/>
        <w:gridCol w:w="109"/>
        <w:gridCol w:w="109"/>
        <w:gridCol w:w="301"/>
        <w:gridCol w:w="301"/>
        <w:gridCol w:w="284"/>
        <w:gridCol w:w="109"/>
        <w:gridCol w:w="109"/>
        <w:gridCol w:w="109"/>
        <w:gridCol w:w="265"/>
        <w:gridCol w:w="265"/>
        <w:gridCol w:w="251"/>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c>
          <w:tcPr>
            <w:tcW w:w="9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$34,997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$26,796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$8,201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$103,188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$77,047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$26,141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131E29"/>
              </w:rPr>
            </w:pPr>
            <w:r>
              <w:rPr>
                <w:color w:val="131E29"/>
              </w:rPr>
              <w:t xml:space="preserve">— </w:t>
            </w:r>
            <w:r>
              <w:rPr>
                <w:rFonts w:ascii="Arial;sans-serif" w:hAnsi="Arial;sans-serif"/>
                <w:b w:val="false"/>
                <w:color w:val="131E29"/>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76" w:before="0" w:after="180"/>
        <w:jc w:val="both"/>
        <w:rPr>
          <w:rFonts w:ascii="Arial;sans-serif" w:hAnsi="Arial;sans-serif"/>
          <w:b w:val="false"/>
          <w:color w:val="131E29"/>
          <w:sz w:val="20"/>
        </w:rPr>
      </w:pPr>
      <w:r>
        <w:rPr>
          <w:rFonts w:ascii="Arial;sans-serif" w:hAnsi="Arial;sans-serif"/>
          <w:b w:val="false"/>
          <w:color w:val="131E29"/>
          <w:sz w:val="20"/>
        </w:rPr>
        <w:t>The increase in depreciation and amortization was primarily driven by the increase in the number of company-operated shops including reacquired franchise shops in the current period compared to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depreciation and amortization was primarily driven by the increase in the number of company-operated shops in the current period compared to the prior period and an adjustment recorded in 2026 as a result of our evaluation of the useful lives of certain shop related assets previously placed into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3220"/>
                <wp:effectExtent l="0" t="0" r="0" b="0"/>
                <wp:wrapNone/>
                <wp:docPr id="124" name="Frame4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2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6"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bookmarkStart w:id="83" w:name="i-46"/>
                            <w:bookmarkEnd w:id="8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2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6"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bookmarkStart w:id="84" w:name="i-46"/>
                      <w:bookmarkEnd w:id="8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Company-operated Shops Gross Profit and Contribution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factors described above resulted in a gross profit margin increase of 30 basis points for the three months ended September 30, 2026 and a decrease of 50 basis points for the nine months ended September 30, 2026 compared to 2025, respectively.</w:t>
      </w:r>
    </w:p>
    <w:tbl>
      <w:tblPr>
        <w:tblW w:w="11064"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294"/>
        <w:gridCol w:w="294"/>
        <w:gridCol w:w="298"/>
        <w:gridCol w:w="109"/>
        <w:gridCol w:w="109"/>
        <w:gridCol w:w="109"/>
        <w:gridCol w:w="293"/>
        <w:gridCol w:w="293"/>
        <w:gridCol w:w="300"/>
        <w:gridCol w:w="109"/>
        <w:gridCol w:w="109"/>
        <w:gridCol w:w="109"/>
        <w:gridCol w:w="260"/>
        <w:gridCol w:w="260"/>
        <w:gridCol w:w="261"/>
        <w:gridCol w:w="109"/>
        <w:gridCol w:w="109"/>
        <w:gridCol w:w="109"/>
        <w:gridCol w:w="155"/>
        <w:gridCol w:w="155"/>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274" w:type="dxa"/>
            <w:gridSpan w:val="10"/>
            <w:tcBorders/>
          </w:tcPr>
          <w:p>
            <w:pPr>
              <w:pStyle w:val="TableContents"/>
              <w:bidi w:val="0"/>
              <w:spacing w:before="0" w:after="283"/>
              <w:jc w:val="left"/>
              <w:rPr>
                <w:sz w:val="4"/>
                <w:szCs w:val="4"/>
              </w:rPr>
            </w:pPr>
            <w:r>
              <w:rPr>
                <w:sz w:val="4"/>
                <w:szCs w:val="4"/>
              </w:rPr>
            </w:r>
          </w:p>
        </w:tc>
      </w:tr>
      <w:t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shops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$109,479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$82,435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$27,044</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$318,562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$246,485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$72,077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Company-operated shops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$144,476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$109,231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$35,245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$421,750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$323,532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$98,218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Franchising and Other Segment Performance</w:t>
      </w:r>
    </w:p>
    <w:tbl>
      <w:tblPr>
        <w:tblW w:w="10314" w:type="dxa"/>
        <w:jc w:val="left"/>
        <w:tblInd w:w="0" w:type="dxa"/>
        <w:tblLayout w:type="fixed"/>
        <w:tblCellMar>
          <w:top w:w="28" w:type="dxa"/>
          <w:left w:w="28" w:type="dxa"/>
          <w:bottom w:w="28" w:type="dxa"/>
          <w:right w:w="28" w:type="dxa"/>
        </w:tblCellMar>
      </w:tblPr>
      <w:tblGrid>
        <w:gridCol w:w="487"/>
        <w:gridCol w:w="296"/>
        <w:gridCol w:w="298"/>
        <w:gridCol w:w="109"/>
        <w:gridCol w:w="109"/>
        <w:gridCol w:w="109"/>
        <w:gridCol w:w="259"/>
        <w:gridCol w:w="259"/>
        <w:gridCol w:w="263"/>
        <w:gridCol w:w="109"/>
        <w:gridCol w:w="109"/>
        <w:gridCol w:w="109"/>
        <w:gridCol w:w="259"/>
        <w:gridCol w:w="259"/>
        <w:gridCol w:w="263"/>
        <w:gridCol w:w="109"/>
        <w:gridCol w:w="109"/>
        <w:gridCol w:w="109"/>
        <w:gridCol w:w="225"/>
        <w:gridCol w:w="225"/>
        <w:gridCol w:w="226"/>
        <w:gridCol w:w="109"/>
        <w:gridCol w:w="109"/>
        <w:gridCol w:w="109"/>
        <w:gridCol w:w="229"/>
        <w:gridCol w:w="229"/>
        <w:gridCol w:w="233"/>
        <w:gridCol w:w="109"/>
        <w:gridCol w:w="109"/>
        <w:gridCol w:w="109"/>
        <w:gridCol w:w="301"/>
        <w:gridCol w:w="301"/>
        <w:gridCol w:w="284"/>
        <w:gridCol w:w="109"/>
        <w:gridCol w:w="109"/>
        <w:gridCol w:w="109"/>
        <w:gridCol w:w="265"/>
        <w:gridCol w:w="265"/>
        <w:gridCol w:w="251"/>
        <w:gridCol w:w="109"/>
        <w:gridCol w:w="109"/>
        <w:gridCol w:w="109"/>
        <w:gridCol w:w="109"/>
        <w:gridCol w:w="109"/>
        <w:gridCol w:w="260"/>
        <w:gridCol w:w="260"/>
        <w:gridCol w:w="261"/>
        <w:gridCol w:w="109"/>
        <w:gridCol w:w="109"/>
        <w:gridCol w:w="109"/>
        <w:gridCol w:w="209"/>
        <w:gridCol w:w="176"/>
        <w:gridCol w:w="156"/>
        <w:gridCol w:w="109"/>
        <w:gridCol w:w="109"/>
        <w:gridCol w:w="109"/>
        <w:gridCol w:w="154"/>
      </w:tblGrid>
      <w:tr>
        <w:tc>
          <w:tcPr>
            <w:tcW w:w="4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49" w:type="dxa"/>
            <w:gridSpan w:val="10"/>
            <w:tcBorders/>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0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$34,833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$30,751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$4,082</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$111,008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$94,795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$16,213</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22,289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24,344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71,738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70,331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64.0%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79.2%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(1,520) bps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64.6%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decrease for the three months ended September 30, 2026, was driven by reduced profit from the reacquisition of franchise rights and assets, and higher freight costs, partially offset by products sold to franchisees (net of costs and adjustments), royalties and marketing fees generated from higher franchise partner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6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increase for the nine months ended September 30, 2026, was driven by products sold to franchisees (net of costs and adjustments), royalties and marketing fees generated from higher franchise partner sales, partially offset by reduced profit from the reacquisition of franchise rights and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Selling, General, and Administrative</w:t>
      </w:r>
    </w:p>
    <w:tbl>
      <w:tblPr>
        <w:tblW w:w="10554"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259"/>
        <w:gridCol w:w="259"/>
        <w:gridCol w:w="263"/>
        <w:gridCol w:w="109"/>
        <w:gridCol w:w="109"/>
        <w:gridCol w:w="109"/>
        <w:gridCol w:w="259"/>
        <w:gridCol w:w="259"/>
        <w:gridCol w:w="263"/>
        <w:gridCol w:w="109"/>
        <w:gridCol w:w="109"/>
        <w:gridCol w:w="109"/>
        <w:gridCol w:w="260"/>
        <w:gridCol w:w="260"/>
        <w:gridCol w:w="261"/>
        <w:gridCol w:w="109"/>
        <w:gridCol w:w="109"/>
        <w:gridCol w:w="109"/>
        <w:gridCol w:w="209"/>
        <w:gridCol w:w="176"/>
        <w:gridCol w:w="156"/>
        <w:gridCol w:w="109"/>
        <w:gridCol w:w="109"/>
        <w:gridCol w:w="109"/>
        <w:gridCol w:w="301"/>
        <w:gridCol w:w="301"/>
        <w:gridCol w:w="284"/>
        <w:gridCol w:w="109"/>
        <w:gridCol w:w="109"/>
        <w:gridCol w:w="109"/>
        <w:gridCol w:w="301"/>
        <w:gridCol w:w="301"/>
        <w:gridCol w:w="284"/>
        <w:gridCol w:w="109"/>
        <w:gridCol w:w="109"/>
        <w:gridCol w:w="109"/>
        <w:gridCol w:w="109"/>
        <w:gridCol w:w="109"/>
        <w:gridCol w:w="260"/>
        <w:gridCol w:w="260"/>
        <w:gridCol w:w="261"/>
        <w:gridCol w:w="109"/>
        <w:gridCol w:w="109"/>
        <w:gridCol w:w="109"/>
        <w:gridCol w:w="209"/>
        <w:gridCol w:w="176"/>
        <w:gridCol w:w="156"/>
        <w:gridCol w:w="109"/>
        <w:gridCol w:w="109"/>
        <w:gridCol w:w="109"/>
        <w:gridCol w:w="154"/>
      </w:tblGrid>
      <w:t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49" w:type="dxa"/>
            <w:gridSpan w:val="10"/>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$78,954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$65,289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$13,665</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$232,781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$189,595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$43,186</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63220"/>
                <wp:effectExtent l="0" t="0" r="0" b="0"/>
                <wp:wrapNone/>
                <wp:docPr id="127" name="Frame4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2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7"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bookmarkStart w:id="85" w:name="i-47"/>
                            <w:bookmarkEnd w:id="8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2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bookmarkStart w:id="86" w:name="i-47"/>
                      <w:bookmarkEnd w:id="8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increase of approximately $13.7 million was primarily driven by increased expenses of $6.1 million consisting of investments in human capital to support our revenue growth along with higher performance-based compensation; and $2.0 million of higher equity-based compensation. These increases were partially offset by lower realignment and restructuring charges of $2.7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increase of approximately $43.2 million was primarily driven by increased expenses of $21.8 million consisting of investments in human capital to support our revenue growth and higher performance-based compensation; and $4.7 million of higher equity-based compensation. These increases were partially offset by lower realignment and restructuring charges of $3.8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Other Expense</w:t>
      </w:r>
    </w:p>
    <w:tbl>
      <w:tblPr>
        <w:tblW w:w="10205" w:type="dxa"/>
        <w:jc w:val="left"/>
        <w:tblInd w:w="0" w:type="dxa"/>
        <w:tblLayout w:type="fixed"/>
        <w:tblCellMar>
          <w:top w:w="28" w:type="dxa"/>
          <w:left w:w="28" w:type="dxa"/>
          <w:bottom w:w="28" w:type="dxa"/>
          <w:right w:w="28" w:type="dxa"/>
        </w:tblCellMar>
      </w:tblPr>
      <w:tblGrid>
        <w:gridCol w:w="424"/>
        <w:gridCol w:w="360"/>
        <w:gridCol w:w="363"/>
        <w:gridCol w:w="109"/>
        <w:gridCol w:w="109"/>
        <w:gridCol w:w="109"/>
        <w:gridCol w:w="245"/>
        <w:gridCol w:w="245"/>
        <w:gridCol w:w="250"/>
        <w:gridCol w:w="113"/>
        <w:gridCol w:w="113"/>
        <w:gridCol w:w="113"/>
        <w:gridCol w:w="245"/>
        <w:gridCol w:w="245"/>
        <w:gridCol w:w="250"/>
        <w:gridCol w:w="113"/>
        <w:gridCol w:w="113"/>
        <w:gridCol w:w="113"/>
        <w:gridCol w:w="196"/>
        <w:gridCol w:w="196"/>
        <w:gridCol w:w="198"/>
        <w:gridCol w:w="113"/>
        <w:gridCol w:w="113"/>
        <w:gridCol w:w="113"/>
        <w:gridCol w:w="213"/>
        <w:gridCol w:w="213"/>
        <w:gridCol w:w="160"/>
        <w:gridCol w:w="109"/>
        <w:gridCol w:w="109"/>
        <w:gridCol w:w="109"/>
        <w:gridCol w:w="288"/>
        <w:gridCol w:w="288"/>
        <w:gridCol w:w="270"/>
        <w:gridCol w:w="116"/>
        <w:gridCol w:w="116"/>
        <w:gridCol w:w="116"/>
        <w:gridCol w:w="288"/>
        <w:gridCol w:w="288"/>
        <w:gridCol w:w="270"/>
        <w:gridCol w:w="116"/>
        <w:gridCol w:w="116"/>
        <w:gridCol w:w="116"/>
        <w:gridCol w:w="116"/>
        <w:gridCol w:w="116"/>
        <w:gridCol w:w="246"/>
        <w:gridCol w:w="246"/>
        <w:gridCol w:w="248"/>
        <w:gridCol w:w="109"/>
        <w:gridCol w:w="109"/>
        <w:gridCol w:w="109"/>
        <w:gridCol w:w="181"/>
        <w:gridCol w:w="181"/>
        <w:gridCol w:w="185"/>
        <w:gridCol w:w="109"/>
        <w:gridCol w:w="109"/>
        <w:gridCol w:w="109"/>
        <w:gridCol w:w="170"/>
      </w:tblGrid>
      <w:tr>
        <w:tc>
          <w:tcPr>
            <w:tcW w:w="4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71" w:type="dxa"/>
            <w:gridSpan w:val="10"/>
            <w:tcBorders/>
          </w:tcPr>
          <w:p>
            <w:pPr>
              <w:pStyle w:val="TableContents"/>
              <w:bidi w:val="0"/>
              <w:spacing w:before="0" w:after="283"/>
              <w:jc w:val="left"/>
              <w:rPr>
                <w:sz w:val="4"/>
                <w:szCs w:val="4"/>
              </w:rPr>
            </w:pPr>
            <w:r>
              <w:rPr>
                <w:sz w:val="4"/>
                <w:szCs w:val="4"/>
              </w:rPr>
            </w:r>
          </w:p>
        </w:tc>
      </w:tr>
      <w:tr>
        <w:tc>
          <w:tcPr>
            <w:tcW w:w="11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3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3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4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Interest expense on 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$(6,051)</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$(5,896)</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$(155)</w:t>
            </w:r>
          </w:p>
        </w:tc>
        <w:tc>
          <w:tcPr>
            <w:tcW w:w="33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$(18,333)</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$(17,234)</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$(1,099)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(1,028)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(799)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(229)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(3,004)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(3,652)</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$(7,079)</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$(6,695)</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$(384)</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$(21,337)</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$(20,886)</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$(451)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300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149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1,086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(1,852)</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$(6,779)</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$(6,546)</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$(233)</w:t>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$(20,251)</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$(22,738)</w:t>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$2,487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(10.9)%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Total other expense was relatively consistent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The decrease in other expense was primarily driven by an increase in other income (expense), net due to non-recurring expenses in the prior year related to our May 2025 credit facility refinancing.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Income Tax Expense </w:t>
      </w:r>
    </w:p>
    <w:tbl>
      <w:tblPr>
        <w:tblW w:w="10205" w:type="dxa"/>
        <w:jc w:val="left"/>
        <w:tblInd w:w="0" w:type="dxa"/>
        <w:tblLayout w:type="fixed"/>
        <w:tblCellMar>
          <w:top w:w="28" w:type="dxa"/>
          <w:left w:w="28" w:type="dxa"/>
          <w:bottom w:w="28" w:type="dxa"/>
          <w:right w:w="28" w:type="dxa"/>
        </w:tblCellMar>
      </w:tblPr>
      <w:tblGrid>
        <w:gridCol w:w="489"/>
        <w:gridCol w:w="429"/>
        <w:gridCol w:w="432"/>
        <w:gridCol w:w="109"/>
        <w:gridCol w:w="109"/>
        <w:gridCol w:w="109"/>
        <w:gridCol w:w="224"/>
        <w:gridCol w:w="224"/>
        <w:gridCol w:w="228"/>
        <w:gridCol w:w="120"/>
        <w:gridCol w:w="120"/>
        <w:gridCol w:w="120"/>
        <w:gridCol w:w="224"/>
        <w:gridCol w:w="224"/>
        <w:gridCol w:w="228"/>
        <w:gridCol w:w="120"/>
        <w:gridCol w:w="120"/>
        <w:gridCol w:w="120"/>
        <w:gridCol w:w="225"/>
        <w:gridCol w:w="225"/>
        <w:gridCol w:w="226"/>
        <w:gridCol w:w="120"/>
        <w:gridCol w:w="120"/>
        <w:gridCol w:w="120"/>
        <w:gridCol w:w="169"/>
        <w:gridCol w:w="169"/>
        <w:gridCol w:w="170"/>
        <w:gridCol w:w="109"/>
        <w:gridCol w:w="109"/>
        <w:gridCol w:w="109"/>
        <w:gridCol w:w="265"/>
        <w:gridCol w:w="265"/>
        <w:gridCol w:w="251"/>
        <w:gridCol w:w="127"/>
        <w:gridCol w:w="127"/>
        <w:gridCol w:w="127"/>
        <w:gridCol w:w="265"/>
        <w:gridCol w:w="265"/>
        <w:gridCol w:w="251"/>
        <w:gridCol w:w="127"/>
        <w:gridCol w:w="127"/>
        <w:gridCol w:w="127"/>
        <w:gridCol w:w="127"/>
        <w:gridCol w:w="127"/>
        <w:gridCol w:w="225"/>
        <w:gridCol w:w="225"/>
        <w:gridCol w:w="226"/>
        <w:gridCol w:w="109"/>
        <w:gridCol w:w="109"/>
        <w:gridCol w:w="109"/>
        <w:gridCol w:w="169"/>
        <w:gridCol w:w="169"/>
        <w:gridCol w:w="170"/>
        <w:gridCol w:w="109"/>
        <w:gridCol w:w="109"/>
        <w:gridCol w:w="109"/>
        <w:gridCol w:w="169"/>
      </w:tblGrid>
      <w:t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Nine Months Ended September 30,</w:t>
            </w:r>
          </w:p>
        </w:tc>
        <w:tc>
          <w:tcPr>
            <w:tcW w:w="1331" w:type="dxa"/>
            <w:gridSpan w:val="10"/>
            <w:tcBorders/>
          </w:tcPr>
          <w:p>
            <w:pPr>
              <w:pStyle w:val="TableContents"/>
              <w:bidi w:val="0"/>
              <w:spacing w:before="0" w:after="283"/>
              <w:jc w:val="left"/>
              <w:rPr>
                <w:sz w:val="4"/>
                <w:szCs w:val="4"/>
              </w:rPr>
            </w:pPr>
            <w:r>
              <w:rPr>
                <w:sz w:val="4"/>
                <w:szCs w:val="4"/>
              </w:rPr>
            </w:r>
          </w:p>
        </w:tc>
      </w:tr>
      <w:t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8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c>
          <w:tcPr>
            <w:tcW w:w="13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$8,807</w:t>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$7,661</w:t>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$1,146</w:t>
            </w:r>
          </w:p>
        </w:tc>
        <w:tc>
          <w:tcPr>
            <w:tcW w:w="36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$24,771</w:t>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$16,363</w:t>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$8,408</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19.1%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21.9%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18.0%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15.7%</w:t>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effective tax rate decreased to 19.1% from 21.9% in the prior-year period, primarily due to benefits of federal tax credits and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Nine Months Ended September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the effective tax rate to 18.0% from 15.7% in the prior-year period was primarily due to a decrease in the benefit of stock-based compensation in 2026 compared to 2025, as well as an increase in our ownership interest of Dutch Bros OpCo.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See NOTE 11 — Income Taxes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63220"/>
                <wp:effectExtent l="0" t="0" r="0" b="0"/>
                <wp:wrapNone/>
                <wp:docPr id="130" name="Frame4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3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8"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bookmarkStart w:id="87" w:name="i-48"/>
                            <w:bookmarkEnd w:id="8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3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8"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bookmarkStart w:id="88" w:name="i-48"/>
                      <w:bookmarkEnd w:id="8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$194.6 million and $269.4 million as of September 30, 2026 and December 31, 2025, respectively.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nine months ended September 30, 2026, our principal sources of liquidity were cash flows from operations. Our principal uses of liquidity for the nine months ended September 30, 2026 were to fund our new shop builds, franchise buyback, purchase the assets of Clutch Coffee and other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Flows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10205" w:type="dxa"/>
        <w:jc w:val="left"/>
        <w:tblInd w:w="0" w:type="dxa"/>
        <w:tblLayout w:type="fixed"/>
        <w:tblCellMar>
          <w:top w:w="28" w:type="dxa"/>
          <w:left w:w="28" w:type="dxa"/>
          <w:bottom w:w="28" w:type="dxa"/>
          <w:right w:w="28" w:type="dxa"/>
        </w:tblCellMar>
      </w:tblPr>
      <w:tblGrid>
        <w:gridCol w:w="1403"/>
        <w:gridCol w:w="1190"/>
        <w:gridCol w:w="1200"/>
        <w:gridCol w:w="109"/>
        <w:gridCol w:w="109"/>
        <w:gridCol w:w="109"/>
        <w:gridCol w:w="211"/>
        <w:gridCol w:w="856"/>
        <w:gridCol w:w="109"/>
        <w:gridCol w:w="109"/>
        <w:gridCol w:w="109"/>
        <w:gridCol w:w="109"/>
        <w:gridCol w:w="211"/>
        <w:gridCol w:w="856"/>
        <w:gridCol w:w="109"/>
        <w:gridCol w:w="109"/>
        <w:gridCol w:w="109"/>
        <w:gridCol w:w="109"/>
        <w:gridCol w:w="109"/>
        <w:gridCol w:w="109"/>
        <w:gridCol w:w="211"/>
        <w:gridCol w:w="799"/>
        <w:gridCol w:w="109"/>
        <w:gridCol w:w="109"/>
        <w:gridCol w:w="109"/>
        <w:gridCol w:w="109"/>
        <w:gridCol w:w="322"/>
        <w:gridCol w:w="324"/>
        <w:gridCol w:w="286"/>
        <w:gridCol w:w="109"/>
        <w:gridCol w:w="109"/>
        <w:gridCol w:w="109"/>
        <w:gridCol w:w="156"/>
      </w:tblGrid>
      <w:tr>
        <w:tc>
          <w:tcPr>
            <w:tcW w:w="140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1742" w:type="dxa"/>
            <w:gridSpan w:val="10"/>
            <w:tcBorders/>
          </w:tcPr>
          <w:p>
            <w:pPr>
              <w:pStyle w:val="TableContents"/>
              <w:bidi w:val="0"/>
              <w:spacing w:before="0" w:after="283"/>
              <w:jc w:val="left"/>
              <w:rPr>
                <w:sz w:val="4"/>
                <w:szCs w:val="4"/>
              </w:rPr>
            </w:pPr>
            <w:r>
              <w:rPr>
                <w:sz w:val="4"/>
                <w:szCs w:val="4"/>
              </w:rPr>
            </w:r>
          </w:p>
        </w:tc>
      </w:tr>
      <w:tr>
        <w:tc>
          <w:tcPr>
            <w:tcW w:w="37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379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297,033 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215,906 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9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81,127 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37.6 </w:t>
            </w:r>
          </w:p>
        </w:tc>
        <w:tc>
          <w:tcPr>
            <w:tcW w:w="2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(307,859)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(169,936)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(137,923)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(63,972)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(72,129)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8,157 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(11.3)</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(74,798)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(26,159)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(48,639)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185.9</w:t>
            </w:r>
            <w:r>
              <w:rPr>
                <w:color w:val="131E29"/>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9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269,404 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293,354 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(23,950)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(8.2)</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194,606</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267,195</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(72,589)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(27.2)</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net cash provided by operating activities was primarily driven by higher net income as a result of year-over-year sales growth and leverage of selling, general and administrative costs.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bidi w:val="0"/>
        <w:spacing w:lineRule="auto" w:line="288" w:before="0" w:after="180"/>
        <w:jc w:val="both"/>
      </w:pPr>
      <w:r>
        <w:rPr>
          <w:rFonts w:ascii="Arial;sans-serif" w:hAnsi="Arial;sans-serif"/>
          <w:b w:val="false"/>
          <w:color w:val="131E29"/>
          <w:sz w:val="20"/>
        </w:rPr>
        <w:t>The increase in net cash used in investing activities was primarily driven by</w:t>
      </w:r>
      <w:r>
        <w:rPr>
          <w:color w:val="000000"/>
        </w:rPr>
        <w:t xml:space="preserve"> </w:t>
      </w:r>
      <w:r>
        <w:rPr>
          <w:rFonts w:ascii="Arial;sans-serif" w:hAnsi="Arial;sans-serif"/>
          <w:b w:val="false"/>
          <w:color w:val="131E29"/>
          <w:sz w:val="20"/>
        </w:rPr>
        <w:t>higher i</w:t>
      </w:r>
      <w:r>
        <w:rPr>
          <w:rFonts w:ascii="Arial;sans-serif" w:hAnsi="Arial;sans-serif"/>
          <w:b w:val="false"/>
          <w:color w:val="000000"/>
          <w:sz w:val="20"/>
        </w:rPr>
        <w:t>nvestment in capital expenditures due to new company-operated shop openings in the current period compared to the same period in the prior year and the franchise and Clutch acquisitions in the current period.</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net cash used in financing activities was primarily driven by the non-recurring net payoff of our 2022 Credit Facility in 2025, partially offset by proceeds from our 2025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cash provided by operating activities and proceeds from our 2025 Credit Facility are adequate to fund our debt service requirements, lease obligations, cash distributions required by the OpCo LLC Agreement and the TRAs, and working capital obligations for at least the next 12 months.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Our future capital requirements may vary materially from period to period and will depend on many factors, primarily our expansion and growth by opening additional company-operated shops and/or reacquiring existing franchised shops. Further, the payments that we may be required to make under the TRAs may be significant. We currently expect to fund our current and long-term material capital requirements with operating cash flows and, as needed, additional proceeds from our 2025 Credit Facility, but we may also seek additional debt or equity financing. From time to time, we may explore additional financing sources which could include equity, equity</w:t>
        <w:noBreakHyphen/>
        <w:t>linked, and debt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As of September 30, 2026, cash requirements for the following items have materially changed from our 2025 Form 10-K: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63220"/>
                <wp:effectExtent l="0" t="0" r="0" b="0"/>
                <wp:wrapNone/>
                <wp:docPr id="133" name="Frame4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3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9"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bookmarkStart w:id="89" w:name="i-49"/>
                            <w:bookmarkEnd w:id="8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3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9"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bookmarkStart w:id="90" w:name="i-49"/>
                      <w:bookmarkEnd w:id="9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ind w:left="0" w:right="0" w:hanging="360"/>
        <w:jc w:val="both"/>
      </w:pPr>
      <w:r>
        <w:rPr>
          <w:color w:val="131E29"/>
        </w:rPr>
        <w:t>•</w:t>
      </w:r>
      <w:r>
        <w:rPr>
          <w:rFonts w:ascii="Arial;sans-serif" w:hAnsi="Arial;sans-serif"/>
          <w:b w:val="false"/>
          <w:color w:val="006098"/>
          <w:sz w:val="20"/>
        </w:rPr>
        <w:t>Lease liabilities</w:t>
      </w:r>
      <w:r>
        <w:rPr>
          <w:color w:val="131E29"/>
        </w:rPr>
        <w:t xml:space="preserve"> — </w:t>
      </w:r>
      <w:r>
        <w:rPr>
          <w:rFonts w:ascii="Arial;sans-serif" w:hAnsi="Arial;sans-serif"/>
          <w:b w:val="false"/>
          <w:color w:val="131E29"/>
          <w:sz w:val="20"/>
        </w:rPr>
        <w:t>increased approximately $212 million from newly commenced leases, including approximately $51 million related to our 2026 acquisitions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Credit Facility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JPMorgan 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2026, $145 million of principal was outstanding on our term loan facility, and $50 million was outstanding on our revolving credit facility. The term loan and revolving loan both bear interest at approximately 5.15% as of September 30, 2026.</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October 29, 2026, we amended our 2025 Credit Facility to revise certain negative covenants, allowing us greater flexibility for future capital expenditures. The amendment had no material impact on the facility's borrowing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2026, the interest rate swap had a notional amount of approximately $53 million and hedges interest rate risk on the term loan under the 2025 Credit Facility, with a fixed rate of 2.67%. As of September 30, 2026, the one-month adjusted term SOFR was 3.90%.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pPr>
      <w:r>
        <w:rPr>
          <w:rFonts w:ascii="Arial;sans-serif" w:hAnsi="Arial;sans-serif"/>
          <w:b w:val="false"/>
          <w:color w:val="131E29"/>
          <w:sz w:val="20"/>
        </w:rPr>
        <w:t>See NOTE 9 — Debt and</w:t>
      </w:r>
      <w:r>
        <w:rPr>
          <w:color w:val="00416B"/>
        </w:rPr>
        <w:t xml:space="preserve"> </w:t>
      </w:r>
      <w:r>
        <w:rPr>
          <w:rFonts w:ascii="Arial;sans-serif" w:hAnsi="Arial;sans-serif"/>
          <w:b w:val="false"/>
          <w:color w:val="131E29"/>
          <w:sz w:val="20"/>
        </w:rPr>
        <w:t>NOTE 10 — Derivative Financial Instrument for additional details related to our 2025 Credit Facility and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Seasonality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that impact our revenue and company-operated shops gross profit margins. We typically experience higher system sales in the summer months, which impacts revenue and company-operated shops gross profit margins in the second and third quarters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Critical Accounting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material changes to our critical accounting estimates from those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Non-GAAP Financial Measures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63220"/>
                <wp:effectExtent l="0" t="0" r="0" b="0"/>
                <wp:wrapNone/>
                <wp:docPr id="136" name="Frame4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3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0"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bookmarkStart w:id="91" w:name="i-50"/>
                            <w:bookmarkEnd w:id="9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3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0"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bookmarkStart w:id="92" w:name="i-50"/>
                      <w:bookmarkEnd w:id="9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Segment contribution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Segment gross profit, before depreciation and amortization.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our industry by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EBITDA, Adjusted EBITDA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before interest expense (net of interest income), income tax expense, and depreciation and amortization expense.</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excluding equity-based compensation, expenses associated with credit facility refinancing, acquisitions-related costs, TRA remeasurements, and organization realignment and restructurings costs.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Adjusted selling, general, and administrative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Selling, general, and administrative expenses, excluding depreciation and amortization, equity-based compensation, acquisitions-related costs, and organization realignment and restructurings costs.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Non-GAAP adjustments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Non-cash expenses related to the grant and vesting of stock awards, including RSUs and PSUs, in Dutch Bros Inc. to certain eligible employees.</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Expenses associated with 2022 credit facility refinancing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incurred as a result of refinancing our credit facility in May 2025, including write-off of unamortized loan costs related to the amendment and restatement of our 2022 Credit Facility, and intermediary fees and other costs related to our 2025 Credit Facility.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63220"/>
                <wp:effectExtent l="0" t="0" r="0" b="0"/>
                <wp:wrapNone/>
                <wp:docPr id="139" name="Frame4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4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1"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bookmarkStart w:id="93" w:name="i-51"/>
                            <w:bookmarkEnd w:id="9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4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1"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bookmarkStart w:id="94" w:name="i-51"/>
                      <w:bookmarkEnd w:id="9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Acquisitions-related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incurred as a result of our acquisitions activity, including professional fees and integration costs.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TRAs remeasurements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loss impacts related to adjustments of our TRAs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Organization realignment and restructurings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Fees and costs incurred in connection with our comprehensive initiatives to develop and implement a long-term strategy involving changes to our organizational structure to support our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 xml:space="preserve">The following are reconciliations of the most comparable GAAP metric to non-GAAP metrics (presented in dollars and as a percentage of revenue): </w:t>
      </w:r>
    </w:p>
    <w:tbl>
      <w:tblPr>
        <w:tblW w:w="11433" w:type="dxa"/>
        <w:jc w:val="left"/>
        <w:tblInd w:w="0" w:type="dxa"/>
        <w:tblLayout w:type="fixed"/>
        <w:tblCellMar>
          <w:top w:w="28" w:type="dxa"/>
          <w:left w:w="28" w:type="dxa"/>
          <w:bottom w:w="28" w:type="dxa"/>
          <w:right w:w="28" w:type="dxa"/>
        </w:tblCellMar>
      </w:tblPr>
      <w:tblGrid>
        <w:gridCol w:w="901"/>
        <w:gridCol w:w="677"/>
        <w:gridCol w:w="298"/>
        <w:gridCol w:w="109"/>
        <w:gridCol w:w="109"/>
        <w:gridCol w:w="109"/>
        <w:gridCol w:w="428"/>
        <w:gridCol w:w="428"/>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154"/>
      </w:tblGrid>
      <w:t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shops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109,479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21.3</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82,435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21.0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318,562</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21.9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246,485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22.4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shops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144,476</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28.1</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109,231</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27.8</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421,750</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29.0</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323,532</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29.4</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398"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54"/>
      </w:tblGrid>
      <w:t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Franchising and other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22,289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64.0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24,344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79.1</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71,738</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64.6</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70,331</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74.2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Franchising and other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24,523</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70.4</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25,690</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83.5</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76,431</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68.9</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74,530</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78.6</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63220"/>
                <wp:effectExtent l="0" t="0" r="0" b="0"/>
                <wp:wrapNone/>
                <wp:docPr id="142" name="Frame4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4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2"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bookmarkStart w:id="95" w:name="i-52"/>
                            <w:bookmarkEnd w:id="9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4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2"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bookmarkStart w:id="96" w:name="i-52"/>
                      <w:bookmarkEnd w:id="9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tbl>
      <w:tblPr>
        <w:tblW w:w="11283" w:type="dxa"/>
        <w:jc w:val="left"/>
        <w:tblInd w:w="0" w:type="dxa"/>
        <w:tblLayout w:type="fixed"/>
        <w:tblCellMar>
          <w:top w:w="28" w:type="dxa"/>
          <w:left w:w="28" w:type="dxa"/>
          <w:bottom w:w="28" w:type="dxa"/>
          <w:right w:w="28" w:type="dxa"/>
        </w:tblCellMar>
      </w:tblPr>
      <w:tblGrid>
        <w:gridCol w:w="1237"/>
        <w:gridCol w:w="296"/>
        <w:gridCol w:w="298"/>
        <w:gridCol w:w="109"/>
        <w:gridCol w:w="109"/>
        <w:gridCol w:w="109"/>
        <w:gridCol w:w="427"/>
        <w:gridCol w:w="429"/>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154"/>
      </w:tblGrid>
      <w:tr>
        <w:tc>
          <w:tcPr>
            <w:tcW w:w="12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8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37,228</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6.8</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27,283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6.4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112,497</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7.2</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88,120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7.4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Interest expense, net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7,079 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6,695 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21,337 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20,886 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92,454</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16.8</w:t>
            </w:r>
            <w:r>
              <w:rPr>
                <w:color w:val="006098"/>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70,705</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16.7</w:t>
            </w: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271,681</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17.4</w:t>
            </w:r>
            <w:r>
              <w:rPr>
                <w:color w:val="006098"/>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208,758</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17.5</w:t>
            </w: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Expenses associated with 2022 credit facility refinancing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Acquisitions-related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TRAs remeasurement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Organization realignment and 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Adjusted 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101,055</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18.4</w:t>
            </w:r>
            <w:r>
              <w:rPr>
                <w:color w:val="006098"/>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78,003</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18.4</w:t>
            </w:r>
            <w:r>
              <w:rPr>
                <w:color w:val="131E29"/>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294,142</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18.8</w:t>
            </w:r>
            <w:r>
              <w:rPr>
                <w:color w:val="006098"/>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229,912</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19.2</w:t>
            </w:r>
            <w:r>
              <w:rPr>
                <w:color w:val="131E29"/>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178" w:type="dxa"/>
        <w:jc w:val="left"/>
        <w:tblInd w:w="0" w:type="dxa"/>
        <w:tblLayout w:type="fixed"/>
        <w:tblCellMar>
          <w:top w:w="28" w:type="dxa"/>
          <w:left w:w="28" w:type="dxa"/>
          <w:bottom w:w="28" w:type="dxa"/>
          <w:right w:w="28" w:type="dxa"/>
        </w:tblCellMar>
      </w:tblPr>
      <w:tblGrid>
        <w:gridCol w:w="1237"/>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154"/>
      </w:tblGrid>
      <w:tr>
        <w:tc>
          <w:tcPr>
            <w:tcW w:w="12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8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Selling, general, and administrative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78,954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14.4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65,289</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15.4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232,781</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6098"/>
                <w:sz w:val="20"/>
              </w:rPr>
              <w:t>14.9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189,595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1E29"/>
                <w:sz w:val="20"/>
              </w:rPr>
              <w:t>15.9</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(6,063)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(4,076)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(16,661)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(11,966)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Acquisitions-related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Organization realignment and restructurings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(2,650)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(1,831)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(5,641)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Adjusted 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69,573</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12.7</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57,639</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13.6</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207,576</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6098"/>
                <w:sz w:val="20"/>
              </w:rPr>
              <w:t>13.3</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169,845</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1E29"/>
                <w:sz w:val="20"/>
              </w:rPr>
              <w:t>14.2</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63220"/>
                <wp:effectExtent l="0" t="0" r="0" b="0"/>
                <wp:wrapNone/>
                <wp:docPr id="145" name="Frame4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4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3"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bookmarkStart w:id="97" w:name="i-53"/>
                            <w:bookmarkEnd w:id="9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4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3"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bookmarkStart w:id="98" w:name="i-53"/>
                      <w:bookmarkEnd w:id="9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QUANTITATIVE AND QUALITATIVE DISCLOSURES ABOUT MARKET RISK</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Commodity Risks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and making operational adjustments that increase productivity. However, tariffs,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Labor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minimum wage increases, which directly affect our labor costs, and other upward pressure on wage rates in several states. Several states in which we operate have recently enacted increases to their minimum wage requirements, some of which are expected to become effective in the fourth quarter of 2026 or later. In the future, we may or may not be able to offset these cost increases with operational efficiencies, menu price increases, or other adjustments. As of September 30, 2026, we employed approximately 28,000 hourly workers in our company-operated shops.</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Interest Rate Risk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historically been exposed to interest rate risk through fluctuations in interest rates on our debt obligations. Our 2025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September 30, 2026, we had $50.0 million in revolving loans outstanding, and $145.3 million was outstanding on our term loan facility. A hypothetical increase of interest rates up to 1% on our outstanding term loan as of September 30, 2026 would result in an increase in our annual interest expense of approximately $2.0 million, excluding any potential impacts of interest rate swaps. </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Impact of Inflation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63220"/>
                <wp:effectExtent l="0" t="0" r="0" b="0"/>
                <wp:wrapNone/>
                <wp:docPr id="148" name="Frame4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4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4"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bookmarkStart w:id="99" w:name="i-54"/>
                            <w:bookmarkEnd w:id="9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5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4" descr=""/>
                                    <pic:cNvPicPr>
                                      <a:picLocks noChangeAspect="1" noChangeArrowheads="1"/>
                                    </pic:cNvPicPr>
                                  </pic:nvPicPr>
                                  <pic:blipFill>
                                    <a:blip r:embed="rId102"/>
                                    <a:stretch>
                                      <a:fillRect/>
                                    </a:stretch>
                                  </pic:blipFill>
                                  <pic:spPr bwMode="auto">
                                    <a:xfrm>
                                      <a:off x="0" y="0"/>
                                      <a:ext cx="190500" cy="266700"/>
                                    </a:xfrm>
                                    <a:prstGeom prst="rect">
                                      <a:avLst/>
                                    </a:prstGeom>
                                  </pic:spPr>
                                </pic:pic>
                              </a:graphicData>
                            </a:graphic>
                          </wp:inline>
                        </w:drawing>
                      </w:r>
                      <w:bookmarkStart w:id="100" w:name="i-54"/>
                      <w:bookmarkEnd w:id="10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4.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Evaluation of Disclosure Controls and Procedures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September 30, 2026,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changes during the three months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63220"/>
                <wp:effectExtent l="0" t="0" r="0" b="0"/>
                <wp:wrapNone/>
                <wp:docPr id="151" name="Frame5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5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5" descr=""/>
                                          <pic:cNvPicPr>
                                            <a:picLocks noChangeAspect="1" noChangeArrowheads="1"/>
                                          </pic:cNvPicPr>
                                        </pic:nvPicPr>
                                        <pic:blipFill>
                                          <a:blip r:embed="rId103"/>
                                          <a:stretch>
                                            <a:fillRect/>
                                          </a:stretch>
                                        </pic:blipFill>
                                        <pic:spPr bwMode="auto">
                                          <a:xfrm>
                                            <a:off x="0" y="0"/>
                                            <a:ext cx="190500" cy="266700"/>
                                          </a:xfrm>
                                          <a:prstGeom prst="rect">
                                            <a:avLst/>
                                          </a:prstGeom>
                                        </pic:spPr>
                                      </pic:pic>
                                    </a:graphicData>
                                  </a:graphic>
                                </wp:inline>
                              </w:drawing>
                            </w:r>
                            <w:bookmarkStart w:id="101" w:name="i-55"/>
                            <w:bookmarkEnd w:id="10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5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5"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bookmarkStart w:id="102" w:name="i-55"/>
                      <w:bookmarkEnd w:id="10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II.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a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and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Please refer to NOTE 15 — Commitments and Contingencies under the heading “Legal Proceedings”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1A. RISK FACTORS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Except for the items noted below, there have been no material changes in our risk factors from those disclosed in Part I, Item 1A of our 2025 Form 10-K. The risk factors described in our 2025 Form 10-K, as well as other information set forth in this Quarterly Report on Form 10-Q, could materially and adversely affect our business, financial condition and results of operations, and should be carefully considered. The risks and uncertainties that we face, however, are not limited to those described in the 2025 Form 10-K. Additional risks and uncertainties not presently known to us or that we currently believe to be immaterial may also adversely affect our business and the trading price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both"/>
        <w:rPr>
          <w:rFonts w:ascii="Arial;sans-serif" w:hAnsi="Arial;sans-serif"/>
          <w:b/>
          <w:i/>
          <w:color w:val="006098"/>
          <w:sz w:val="20"/>
        </w:rPr>
      </w:pPr>
      <w:r>
        <w:rPr>
          <w:rFonts w:ascii="Arial;sans-serif" w:hAnsi="Arial;sans-serif"/>
          <w:b/>
          <w:i/>
          <w:color w:val="006098"/>
          <w:sz w:val="20"/>
        </w:rPr>
        <w:t>Legislation and regulations requiring the display and provision of nutritional information for our menu offerings, and new information, attitudes, or regulations regarding additives, diet and health or adverse opinions about the health effects of consuming our menu offerings, could affect consumer preferences and negatively impact our business, financial condition, and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customer consumption habits may impact our business as a result of changes in attitudes regarding diet and health (including use of weight-loss or appetite-suppressing drugs such as those commonly known as GLP-1s)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More recently, U.S. regulatory authorities, including the Food and Drug Administration, have indicated their intent to restrict or prohibit the use of certain food dyes currently permitted for lawful use in food. In May 2026, the Food and Drug Administration announced it had finalized its post-market assessment program for chemicals in the food supply and launched its first reassessments under the program, and has since added additional chemicals to its list of substances under review with further reviews expected on an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63220"/>
                <wp:effectExtent l="0" t="0" r="0" b="0"/>
                <wp:wrapNone/>
                <wp:docPr id="154" name="Frame5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5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6"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bookmarkStart w:id="103" w:name="i-56"/>
                            <w:bookmarkEnd w:id="10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6"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bookmarkStart w:id="104" w:name="i-56"/>
                      <w:bookmarkEnd w:id="10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pPr>
      <w:r>
        <w:rPr>
          <w:rFonts w:ascii="Arial;sans-serif" w:hAnsi="Arial;sans-serif"/>
          <w:b w:val="false"/>
          <w:color w:val="131E29"/>
          <w:sz w:val="20"/>
        </w:rPr>
        <w:t>ongoing basis. Such assessments may be initiated by external petitions or the agency’s own initiative</w:t>
      </w:r>
      <w:r>
        <w:rPr>
          <w:rFonts w:ascii="Arial;sans-serif" w:hAnsi="Arial;sans-serif"/>
          <w:b w:val="false"/>
          <w:color w:val="131E29"/>
          <w:sz w:val="24"/>
        </w:rPr>
        <w:t xml:space="preserve">. </w:t>
      </w:r>
      <w:r>
        <w:rPr>
          <w:rFonts w:ascii="Arial;sans-serif" w:hAnsi="Arial;sans-serif"/>
          <w:b w:val="false"/>
          <w:color w:val="131E29"/>
          <w:sz w:val="20"/>
        </w:rPr>
        <w:t>Separately, in August 2026, the U.S. Department of Health and Human Services (HHS) announced the submission, for final review by the Office of Management and Budget, of a white paper proposing a uniform federal definition of “ultra-processed food,” developed with input from the Food and Drug Administration and the U.S. Department of Agriculture; the substance of any resulting definition remains unknown. Also in August 2026, the Food and Drug Administration published a proposed rule to increase oversight of food ingredients deemed Generally Recognized as Safe (GRAS), which, if finalized, would require mandatory submission of GRAS notices for food ingredients. GRAS reform legislation has also been introduced in Congress. Furthermore, an increasing number of states have proposed or enacted laws intended to prohibit or limit the use of certain food and color additives and states have initiated actions and investigations into the use of certain additives by companies. For example, in 2025, the Texas Attorney General’s Office initiated multiple investigations into major food companies regarding the marketing of products containing artificial dyes, resulting in public commitments to remove such additives in the near term and, in one case, a legally binding agreement. Should such regulatory change affect the ingredients currently used in our products and we are unable to identify or secure comparable and cost-effective alternative ingredients, such change could have an adverse effect on our results of operations and financial position. An unfavorable report on, or reaction to, our current or future menu ingredients, the size of our portions, or the nutritional content of our menu items could negatively influence the demand for our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customer health perceptions or our ability to successfully implement nutrient content disclosure requirements or other resulting regulations, including potential regulations around the use of certain ingredients, dyes, or other additives, or to adapt our menu offerings to trends in drinking and consumption habits. The imposition of menu-labeling laws, additional restrictions on certain food additives, and such other regulations could have an adverse effect on our results of operations and financial position, as well as the food service and restaurant industry in general.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be unable to identify all potential allergens present in our products at the time of purchase, whether they were introduced by us or by our third party vendors. This could result in the inability of some customers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social media has contributed to an increase in “secret menu” style drinks that are not created or marketed by us. Such drinks can be ordered by customers, for example, by asking for specific combinations of flavors or ingredients. We have no control over such trends, may not become timely aware of them, and may be unable to provide nutritional information for them. Such trends may also result in a mixture of ingredients in ways that could be perceived negatively, including with regard to health effects, and such perception could harm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part of our business strategy to grow our business, we have in the past and may in the future make investments or acquisitions in, or enter into strategic partnerships with, other companies, including acquisitions of franchises from our franchise partners and acquisitions of material lease rights, real estate or properties for conversion to new shops. The identification of suitable acquisitions or partnership candidates can be difficult, time-consuming, and costly, and we may not be able to complete acquisitions or partnerships on favorable terms, if at all. These acquisitions or partnerships may be more costly to protect our competitive position, but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63220"/>
                <wp:effectExtent l="0" t="0" r="0" b="0"/>
                <wp:wrapNone/>
                <wp:docPr id="157" name="Frame5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7" descr=""/>
                                          <pic:cNvPicPr>
                                            <a:picLocks noChangeAspect="1" noChangeArrowheads="1"/>
                                          </pic:cNvPicPr>
                                        </pic:nvPicPr>
                                        <pic:blipFill>
                                          <a:blip r:embed="rId107"/>
                                          <a:stretch>
                                            <a:fillRect/>
                                          </a:stretch>
                                        </pic:blipFill>
                                        <pic:spPr bwMode="auto">
                                          <a:xfrm>
                                            <a:off x="0" y="0"/>
                                            <a:ext cx="190500" cy="266700"/>
                                          </a:xfrm>
                                          <a:prstGeom prst="rect">
                                            <a:avLst/>
                                          </a:prstGeom>
                                        </pic:spPr>
                                      </pic:pic>
                                    </a:graphicData>
                                  </a:graphic>
                                </wp:inline>
                              </w:drawing>
                            </w:r>
                            <w:bookmarkStart w:id="105" w:name="i-57"/>
                            <w:bookmarkEnd w:id="10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7" descr=""/>
                                    <pic:cNvPicPr>
                                      <a:picLocks noChangeAspect="1" noChangeArrowheads="1"/>
                                    </pic:cNvPicPr>
                                  </pic:nvPicPr>
                                  <pic:blipFill>
                                    <a:blip r:embed="rId108"/>
                                    <a:stretch>
                                      <a:fillRect/>
                                    </a:stretch>
                                  </pic:blipFill>
                                  <pic:spPr bwMode="auto">
                                    <a:xfrm>
                                      <a:off x="0" y="0"/>
                                      <a:ext cx="190500" cy="266700"/>
                                    </a:xfrm>
                                    <a:prstGeom prst="rect">
                                      <a:avLst/>
                                    </a:prstGeom>
                                  </pic:spPr>
                                </pic:pic>
                              </a:graphicData>
                            </a:graphic>
                          </wp:inline>
                        </w:drawing>
                      </w:r>
                      <w:bookmarkStart w:id="106" w:name="i-57"/>
                      <w:bookmarkEnd w:id="10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integrating an acquisition or partnership. In addition, if we fail to successfully integrate such acquisitions, assets, technologies, properties, or personnel associated with such acquisitions or partnerships into our company, the business and results of operations of the combined company would be adversely affected.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pStyle w:val="TextBody"/>
        <w:bidi w:val="0"/>
        <w:spacing w:before="0" w:after="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63220"/>
                <wp:effectExtent l="0" t="0" r="0" b="0"/>
                <wp:wrapNone/>
                <wp:docPr id="160" name="Frame5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8" descr=""/>
                                          <pic:cNvPicPr>
                                            <a:picLocks noChangeAspect="1" noChangeArrowheads="1"/>
                                          </pic:cNvPicPr>
                                        </pic:nvPicPr>
                                        <pic:blipFill>
                                          <a:blip r:embed="rId109"/>
                                          <a:stretch>
                                            <a:fillRect/>
                                          </a:stretch>
                                        </pic:blipFill>
                                        <pic:spPr bwMode="auto">
                                          <a:xfrm>
                                            <a:off x="0" y="0"/>
                                            <a:ext cx="190500" cy="266700"/>
                                          </a:xfrm>
                                          <a:prstGeom prst="rect">
                                            <a:avLst/>
                                          </a:prstGeom>
                                        </pic:spPr>
                                      </pic:pic>
                                    </a:graphicData>
                                  </a:graphic>
                                </wp:inline>
                              </w:drawing>
                            </w:r>
                            <w:bookmarkStart w:id="107" w:name="i-58"/>
                            <w:bookmarkEnd w:id="10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8" descr=""/>
                                    <pic:cNvPicPr>
                                      <a:picLocks noChangeAspect="1" noChangeArrowheads="1"/>
                                    </pic:cNvPicPr>
                                  </pic:nvPicPr>
                                  <pic:blipFill>
                                    <a:blip r:embed="rId110"/>
                                    <a:stretch>
                                      <a:fillRect/>
                                    </a:stretch>
                                  </pic:blipFill>
                                  <pic:spPr bwMode="auto">
                                    <a:xfrm>
                                      <a:off x="0" y="0"/>
                                      <a:ext cx="190500" cy="266700"/>
                                    </a:xfrm>
                                    <a:prstGeom prst="rect">
                                      <a:avLst/>
                                    </a:prstGeom>
                                  </pic:spPr>
                                </pic:pic>
                              </a:graphicData>
                            </a:graphic>
                          </wp:inline>
                        </w:drawing>
                      </w:r>
                      <w:bookmarkStart w:id="108" w:name="i-58"/>
                      <w:bookmarkEnd w:id="10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Issuer Purchases of Equity Securities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 summarizes purchases of Class A common stock during the three months ended September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54"/>
        <w:gridCol w:w="278"/>
        <w:gridCol w:w="279"/>
        <w:gridCol w:w="109"/>
        <w:gridCol w:w="109"/>
        <w:gridCol w:w="109"/>
        <w:gridCol w:w="495"/>
        <w:gridCol w:w="442"/>
        <w:gridCol w:w="443"/>
        <w:gridCol w:w="109"/>
        <w:gridCol w:w="109"/>
        <w:gridCol w:w="109"/>
        <w:gridCol w:w="422"/>
        <w:gridCol w:w="1296"/>
        <w:gridCol w:w="219"/>
        <w:gridCol w:w="109"/>
        <w:gridCol w:w="109"/>
        <w:gridCol w:w="109"/>
        <w:gridCol w:w="640"/>
        <w:gridCol w:w="640"/>
        <w:gridCol w:w="641"/>
        <w:gridCol w:w="109"/>
        <w:gridCol w:w="109"/>
        <w:gridCol w:w="109"/>
        <w:gridCol w:w="714"/>
        <w:gridCol w:w="714"/>
        <w:gridCol w:w="1020"/>
      </w:tblGrid>
      <w:tr>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6098"/>
                <w:sz w:val="18"/>
              </w:rPr>
              <w:t>Total Number of Shares Purchased</w:t>
            </w:r>
            <w:r>
              <w:rPr>
                <w:color w:val="006098"/>
              </w:rPr>
              <w:t xml:space="preserve"> </w:t>
            </w:r>
            <w:r>
              <w:rPr>
                <w:rFonts w:ascii="Arial;sans-serif" w:hAnsi="Arial;sans-serif"/>
                <w:b/>
                <w:color w:val="006098"/>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Maximum Number (or Approximate Dollar Value) of Shares that May Yet Be Purchased Under the Plans or Programs</w:t>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July 1 - 31,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12,862 </w:t>
            </w:r>
          </w:p>
        </w:tc>
        <w:tc>
          <w:tcPr>
            <w:tcW w:w="44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73.30 </w:t>
            </w:r>
          </w:p>
        </w:tc>
        <w:tc>
          <w:tcPr>
            <w:tcW w:w="21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64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August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2,043 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49.34 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September 1 - 30,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44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64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pPr>
      <w:r>
        <w:rPr>
          <w:rFonts w:ascii="Arial;sans-serif" w:hAnsi="Arial;sans-serif"/>
          <w:b w:val="false"/>
          <w:color w:val="000000"/>
          <w:sz w:val="10"/>
        </w:rPr>
        <w:t>1</w:t>
      </w:r>
      <w:r>
        <w:rPr>
          <w:color w:val="000000"/>
        </w:rPr>
        <w:t>    </w:t>
      </w:r>
      <w:r>
        <w:rPr>
          <w:rFonts w:ascii="Arial;sans-serif" w:hAnsi="Arial;sans-serif"/>
          <w:b w:val="false"/>
          <w:color w:val="000000"/>
          <w:sz w:val="16"/>
        </w:rPr>
        <w:t>In connection with the vesting of RSUs granted pursuant to the Dutch Bros Inc. 2021 Equity Incentive Plan, as amended, shares of Class A common stock are delivered to Dutch Bros by employees to satisfy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Unregistered Sales of Equity Securities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July 16, 2026, pursuant to Section 3(a)(9) of the Securities Act, we made an unregistered issuance of Dutch Bros Inc.’s Class A common stock via exchange of 24,298 Dutch Bros OpCo Class A common units (and corresponding cancellation of the same number of shares of Class C common stock) held by our Sponsor for shares of our Class A common stock on a one-for-one basis. Such shares of Class A common stock were then sold directly by our Sponsor pursuant to Rule 144 of the Securities Act, and we received no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DEFAULTS UPON SENIOR SECURITIES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4. MINE SAFETY DISCLOSURES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5. OTHER INFORMATION</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There are no disclosures required by this Item 5, including those relating to “Rule 10b5-1 trading arrangements” and “non-Rule 10b5-1 trading arrangements,”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63220"/>
                <wp:effectExtent l="0" t="0" r="0" b="0"/>
                <wp:wrapNone/>
                <wp:docPr id="163" name="Frame5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9"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bookmarkStart w:id="109" w:name="i-59"/>
                            <w:bookmarkEnd w:id="10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9"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bookmarkStart w:id="110" w:name="i-59"/>
                      <w:bookmarkEnd w:id="1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v:textbox>
                <w10:wrap type="none"/>
              </v:rect>
            </w:pict>
          </mc:Fallback>
        </mc:AlternateContent>
      </w:r>
    </w:p>
    <w:p>
      <w:pPr>
        <w:pStyle w:val="TextBody"/>
        <w:bidi w:val="0"/>
        <w:spacing w:lineRule="auto" w:line="288" w:before="0" w:after="0"/>
        <w:jc w:val="left"/>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color w:val="D7282F"/>
          <w:sz w:val="28"/>
        </w:rPr>
      </w:pPr>
      <w:r>
        <w:rPr>
          <w:rFonts w:ascii="Arial;sans-serif" w:hAnsi="Arial;sans-serif"/>
          <w:b/>
          <w:color w:val="D7282F"/>
          <w:sz w:val="28"/>
        </w:rPr>
        <w:t>ITEM 6. EXHIBITS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14"/>
        <w:gridCol w:w="1299"/>
        <w:gridCol w:w="1312"/>
        <w:gridCol w:w="110"/>
        <w:gridCol w:w="110"/>
        <w:gridCol w:w="110"/>
        <w:gridCol w:w="175"/>
        <w:gridCol w:w="175"/>
        <w:gridCol w:w="177"/>
        <w:gridCol w:w="337"/>
        <w:gridCol w:w="252"/>
        <w:gridCol w:w="184"/>
        <w:gridCol w:w="220"/>
        <w:gridCol w:w="220"/>
        <w:gridCol w:w="221"/>
        <w:gridCol w:w="110"/>
        <w:gridCol w:w="110"/>
        <w:gridCol w:w="110"/>
        <w:gridCol w:w="359"/>
        <w:gridCol w:w="359"/>
        <w:gridCol w:w="364"/>
        <w:gridCol w:w="109"/>
        <w:gridCol w:w="109"/>
        <w:gridCol w:w="109"/>
        <w:gridCol w:w="263"/>
        <w:gridCol w:w="263"/>
        <w:gridCol w:w="386"/>
      </w:tblGrid>
      <w:t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Description</w:t>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77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c>
          <w:tcPr>
            <w:tcW w:w="8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pPr>
            <w:hyperlink r:id="rId113">
              <w:r>
                <w:rPr>
                  <w:rStyle w:val="InternetLink"/>
                  <w:rFonts w:ascii="Arial;sans-serif" w:hAnsi="Arial;sans-serif"/>
                  <w:b w:val="false"/>
                  <w:color w:val="000000"/>
                  <w:sz w:val="18"/>
                  <w:u w:val="single"/>
                </w:rPr>
                <w:t>Amended and Restated Certificate of Incorporation of Registrant</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7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r:id="rId114">
              <w:r>
                <w:rPr>
                  <w:rStyle w:val="InternetLink"/>
                  <w:rFonts w:ascii="Arial;sans-serif" w:hAnsi="Arial;sans-serif"/>
                  <w:b w:val="false"/>
                  <w:color w:val="000000"/>
                  <w:sz w:val="18"/>
                  <w:u w:val="single"/>
                </w:rPr>
                <w:t>Amended and Restated Bylaws of Registrant</w:t>
              </w:r>
            </w:hyperlink>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r:id="rId115">
              <w:r>
                <w:rPr>
                  <w:rStyle w:val="InternetLink"/>
                  <w:rFonts w:ascii="Arial;sans-serif" w:hAnsi="Arial;sans-serif"/>
                  <w:b w:val="false"/>
                  <w:color w:val="000000"/>
                  <w:sz w:val="18"/>
                  <w:u w:val="single"/>
                </w:rPr>
                <w:t>Form of Common Stock Certificate</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7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13,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jpm_dutchbros-amendno1to.htm">
              <w:r>
                <w:rPr>
                  <w:rStyle w:val="InternetLink"/>
                  <w:rFonts w:ascii="Arial;sans-serif" w:hAnsi="Arial;sans-serif"/>
                  <w:b w:val="false"/>
                  <w:color w:val="000000"/>
                  <w:sz w:val="18"/>
                  <w:u w:val="single"/>
                </w:rPr>
                <w:t>Amendment No. 1, dated October 29, 2026 to the Second Amended and Restated Credit Agreement, dated May 29, 2025, by and among Dutch Bros., LLC, DB Franchising USA, LLC, Boersma Bros. LLC, and the other Loan Parties party thereto, the financial institutions party thereto, and J.P. Morgan Chase Bank, N.A. as Administrative Agent</w:t>
              </w:r>
            </w:hyperlink>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c>
          <w:tcPr>
            <w:tcW w:w="8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w:anchor="exh311-2026q3.htm">
              <w:r>
                <w:rPr>
                  <w:rStyle w:val="InternetLink"/>
                  <w:rFonts w:ascii="Arial;sans-serif" w:hAnsi="Arial;sans-serif"/>
                  <w:b w:val="false"/>
                  <w:color w:val="000000"/>
                  <w:sz w:val="18"/>
                  <w:u w:val="single"/>
                </w:rPr>
                <w:t>Certification of Chief Executive Officer Pursuant to Rules 13a-14(a) and 15d-14(a) of the Securities Exchange Act of 1934, as Adopted Pursuant to Section 302 of the Sarbanes-Oxley Act of 2002</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exh312-2026q3.htm">
              <w:r>
                <w:rPr>
                  <w:rStyle w:val="InternetLink"/>
                  <w:rFonts w:ascii="Arial;sans-serif" w:hAnsi="Arial;sans-serif"/>
                  <w:b w:val="false"/>
                  <w:color w:val="000000"/>
                  <w:sz w:val="18"/>
                  <w:u w:val="single"/>
                </w:rPr>
                <w:t>Certification of Chief Financial Officer Pursuant to Rules 13a-14(a) and 15d-14(a) of the Securities Exchange Act of 1934, as Adopted Pursuant to Section 302 of the Sarbanes-Oxley Act of 2002</w:t>
              </w:r>
            </w:hyperlink>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pPr>
            <w:hyperlink w:anchor="exh321-2026q3.htm">
              <w:r>
                <w:rPr>
                  <w:rStyle w:val="InternetLink"/>
                  <w:rFonts w:ascii="Arial;sans-serif" w:hAnsi="Arial;sans-serif"/>
                  <w:b w:val="false"/>
                  <w:color w:val="000000"/>
                  <w:sz w:val="18"/>
                  <w:u w:val="single"/>
                </w:rPr>
                <w:t>Certifications of Chief Executive Officer and Chief Financial Officer Pursuant to 18 U.S.C. Section 1350, as Adopted Pursuant to Section 906 of the Sarbanes-Oxley Act of 2002</w:t>
              </w:r>
            </w:hyperlink>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_______________________</w:t>
      </w:r>
    </w:p>
    <w:p>
      <w:pPr>
        <w:pStyle w:val="TextBody"/>
        <w:bidi w:val="0"/>
        <w:spacing w:lineRule="auto" w:line="288" w:before="0" w:after="60"/>
        <w:ind w:left="0" w:right="0" w:hanging="180"/>
        <w:jc w:val="both"/>
        <w:rPr>
          <w:rFonts w:ascii="Arial;sans-serif" w:hAnsi="Arial;sans-serif"/>
          <w:b w:val="false"/>
          <w:color w:val="000000"/>
          <w:sz w:val="16"/>
        </w:rPr>
      </w:pPr>
      <w:r>
        <w:rPr>
          <w:rFonts w:ascii="Arial;sans-serif" w:hAnsi="Arial;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63220"/>
                <wp:effectExtent l="0" t="0" r="0" b="0"/>
                <wp:wrapNone/>
                <wp:docPr id="166" name="Frame5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pPr>
                            <w:r>
                              <w:drawing>
                                <wp:inline distT="0" distB="0" distL="0" distR="0">
                                  <wp:extent cx="190500" cy="266700"/>
                                  <wp:effectExtent l="0" t="0" r="0" b="0"/>
                                  <wp:docPr id="1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0" descr=""/>
                                          <pic:cNvPicPr>
                                            <a:picLocks noChangeAspect="1" noChangeArrowheads="1"/>
                                          </pic:cNvPicPr>
                                        </pic:nvPicPr>
                                        <pic:blipFill>
                                          <a:blip r:embed="rId116"/>
                                          <a:stretch>
                                            <a:fillRect/>
                                          </a:stretch>
                                        </pic:blipFill>
                                        <pic:spPr bwMode="auto">
                                          <a:xfrm>
                                            <a:off x="0" y="0"/>
                                            <a:ext cx="190500" cy="266700"/>
                                          </a:xfrm>
                                          <a:prstGeom prst="rect">
                                            <a:avLst/>
                                          </a:prstGeom>
                                        </pic:spPr>
                                      </pic:pic>
                                    </a:graphicData>
                                  </a:graphic>
                                </wp:inline>
                              </w:drawing>
                            </w:r>
                            <w:bookmarkStart w:id="111" w:name="i-60"/>
                            <w:bookmarkEnd w:id="1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pPr>
                      <w:r>
                        <w:drawing>
                          <wp:inline distT="0" distB="0" distL="0" distR="0">
                            <wp:extent cx="190500" cy="266700"/>
                            <wp:effectExtent l="0" t="0" r="0" b="0"/>
                            <wp:docPr id="1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0" descr=""/>
                                    <pic:cNvPicPr>
                                      <a:picLocks noChangeAspect="1" noChangeArrowheads="1"/>
                                    </pic:cNvPicPr>
                                  </pic:nvPicPr>
                                  <pic:blipFill>
                                    <a:blip r:embed="rId117"/>
                                    <a:stretch>
                                      <a:fillRect/>
                                    </a:stretch>
                                  </pic:blipFill>
                                  <pic:spPr bwMode="auto">
                                    <a:xfrm>
                                      <a:off x="0" y="0"/>
                                      <a:ext cx="190500" cy="266700"/>
                                    </a:xfrm>
                                    <a:prstGeom prst="rect">
                                      <a:avLst/>
                                    </a:prstGeom>
                                  </pic:spPr>
                                </pic:pic>
                              </a:graphicData>
                            </a:graphic>
                          </wp:inline>
                        </w:drawing>
                      </w:r>
                      <w:bookmarkStart w:id="112" w:name="i-60"/>
                      <w:bookmarkEnd w:id="1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v:textbox>
                <w10:wrap type="none"/>
              </v:rect>
            </w:pict>
          </mc:Fallback>
        </mc:AlternateContent>
      </w:r>
    </w:p>
    <w:p>
      <w:pPr>
        <w:pStyle w:val="TextBody"/>
        <w:bidi w:val="0"/>
        <w:spacing w:lineRule="auto" w:line="288" w:before="0" w:after="180"/>
        <w:jc w:val="both"/>
      </w:pPr>
      <w:hyperlink w:anchor="i14cd05f6fb404a99b00a75d57d7c96da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Pursuant to the requirements of the Securities Exchange Act of 1934, the Registrant has duly caused this report to be signed on its behalf by the undersigned thereunto duly authorized. </w:t>
      </w:r>
    </w:p>
    <w:tbl>
      <w:tblPr>
        <w:tblW w:w="6345"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291"/>
        <w:gridCol w:w="291"/>
        <w:gridCol w:w="291"/>
        <w:gridCol w:w="999"/>
        <w:gridCol w:w="999"/>
        <w:gridCol w:w="1437"/>
      </w:tblGrid>
      <w:t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DUTCH BROS INC.</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(Registrant)</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Christine Barone</w:t>
            </w:r>
          </w:p>
        </w:tc>
      </w:tr>
      <w:t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Christine Barone</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Executive Officer and President</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Executive Officer)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Joshua Guenser</w:t>
            </w:r>
          </w:p>
        </w:tc>
      </w:tr>
      <w:t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Joshua Guenser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Financial Officer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Financial Officer)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Nicholas Daddario</w:t>
            </w:r>
          </w:p>
        </w:tc>
      </w:tr>
      <w:t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Nicholas Daddario</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Accounting Officer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Accounting Officer)</w:t>
            </w:r>
          </w:p>
        </w:tc>
      </w:tr>
    </w:tbl>
    <w:p>
      <w:pPr>
        <w:pStyle w:val="TextBody"/>
        <w:bidi w:val="0"/>
        <w:spacing w:before="0" w:after="0"/>
        <w:jc w:val="center"/>
      </w:pPr>
      <w:bookmarkStart w:id="113" w:name="jpm_dutchbros-amendno1to.htm"/>
      <w:bookmarkStart w:id="114" w:name="ksjpm_dutchbrosamendno1to"/>
      <w:bookmarkEnd w:id="113"/>
      <w:bookmarkEnd w:id="114"/>
      <w:r>
        <w:drawing>
          <wp:inline distT="0" distB="0" distL="0" distR="0">
            <wp:extent cx="10048875" cy="13001625"/>
            <wp:effectExtent l="0" t="0" r="0" b="0"/>
            <wp:docPr id="1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2"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63220"/>
                <wp:effectExtent l="0" t="0" r="0" b="0"/>
                <wp:wrapNone/>
                <wp:docPr id="170" name="Frame5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1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1" descr=""/>
                                          <pic:cNvPicPr>
                                            <a:picLocks noChangeAspect="1" noChangeArrowheads="1"/>
                                          </pic:cNvPicPr>
                                        </pic:nvPicPr>
                                        <pic:blipFill>
                                          <a:blip r:embed="rId119"/>
                                          <a:stretch>
                                            <a:fillRect/>
                                          </a:stretch>
                                        </pic:blipFill>
                                        <pic:spPr bwMode="auto">
                                          <a:xfrm>
                                            <a:off x="0" y="0"/>
                                            <a:ext cx="190500" cy="266700"/>
                                          </a:xfrm>
                                          <a:prstGeom prst="rect">
                                            <a:avLst/>
                                          </a:prstGeom>
                                        </pic:spPr>
                                      </pic:pic>
                                    </a:graphicData>
                                  </a:graphic>
                                </wp:inline>
                              </w:drawing>
                            </w:r>
                            <w:bookmarkStart w:id="115" w:name="i-61"/>
                            <w:bookmarkEnd w:id="11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1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1" descr=""/>
                                    <pic:cNvPicPr>
                                      <a:picLocks noChangeAspect="1" noChangeArrowheads="1"/>
                                    </pic:cNvPicPr>
                                  </pic:nvPicPr>
                                  <pic:blipFill>
                                    <a:blip r:embed="rId120"/>
                                    <a:stretch>
                                      <a:fillRect/>
                                    </a:stretch>
                                  </pic:blipFill>
                                  <pic:spPr bwMode="auto">
                                    <a:xfrm>
                                      <a:off x="0" y="0"/>
                                      <a:ext cx="190500" cy="266700"/>
                                    </a:xfrm>
                                    <a:prstGeom prst="rect">
                                      <a:avLst/>
                                    </a:prstGeom>
                                  </pic:spPr>
                                </pic:pic>
                              </a:graphicData>
                            </a:graphic>
                          </wp:inline>
                        </w:drawing>
                      </w:r>
                      <w:bookmarkStart w:id="116" w:name="i-61"/>
                      <w:bookmarkEnd w:id="11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v:textbox>
                <w10:wrap type="none"/>
              </v:rect>
            </w:pict>
          </mc:Fallback>
        </mc:AlternateContent>
      </w:r>
    </w:p>
    <w:p>
      <w:pPr>
        <w:pStyle w:val="TextBody"/>
        <w:bidi w:val="0"/>
        <w:jc w:val="center"/>
        <w:rPr>
          <w:color w:val="FFFFFF"/>
          <w:sz w:val="2"/>
        </w:rPr>
      </w:pPr>
      <w:r>
        <w:rPr>
          <w:color w:val="FFFFFF"/>
          <w:sz w:val="2"/>
        </w:rPr>
        <w:t xml:space="preserve">EXECUTION VERSION 1758986935.4 AMENDMENT NO. 1 Dated as of October 29, 2026 to SECOND AMENDED AND RESTATED CREDIT AGREEMENT Dated as of May 29, 2025 THIS AMENDMENT NO. 1 (this “Amendment”) is made as of October 29, 2026 by and among DUTCH BROS., LLC, an Oregon limited liability company (the “Company”), DB FRANCHISING USA, LLC, an Oregon limited liability company (“DB USA”), BOERSMA BROS. LLC, an Oregon limited liability company (“Boersma” and, together with the Company and DB USA, collectively, the “Borrowers” and each, individually, a “Borrower”), the other Loan Parties party hereto, the financial institutions listed on the signature pages hereof and JPMorgan Chase Bank, N.A., as Administrative Agent (the “Administrative Agent”), under that certain Second Amended and Restated Credit Agreement, dated as of May 29, 2025 by and among the Borrowers, the other Loan Parties party thereto, the Lenders from time to time party thereto and the Administrative Agent (as amended, restated, supplemented or otherwise modified from time to time prior to the date hereof, the “Existing Credit Agreement”). Capitalized terms used herein and not otherwise defined herein shall have the respective meanings given to them in the Amended Credit Agreement (as defined below). WHEREAS, the Borrowers have requested that the Lenders and the Administrative Agent agree to make certain amendments to the Existing Credit Agreement; WHEREAS, the Borrowers, the Lenders party hereto and the Administrative Agent have agreed to make such amendments to the Existing Credit Agreement on the terms and conditions set forth herein; NOW, THEREFORE, in consideration of the premises set forth above, the terms and conditions contained herein, and other good and valuable consideration, the receipt and sufficiency of which are hereby acknowledged, the Borrowers, the other Loan Parties, the Lenders party hereto (which constitute Required Lenders) and the Administrative Agent hereby agree to enter into this Amendment. 1. Amendments to the Existing Credit Agreement. Effective as of the Amendment No. 1 Effective Date (as defined below), the Existing Credit Agreement is hereby amended to delete the stricken text (indicated in the same manner as the following example: stricken text) and to add the double-underlined text (indicated in the same manner as the following example: double-underlined text) as set forth on Exhibit A hereto (the “Amended Credit Agreement”). 2. Conditions of Effectiveness. The effectiveness of this Amendment (the “Amendment No. 1 Effective Date”) is subject to the satisfaction of the following conditions precedent: (a) The Administrative Agent (or its counsel) shall have received executed counterparts of this Amendment signed by or on behalf of the Borrowers, the other Loan Parties, the Lenders (which constitute Required Lenders) and the Administrative Agent (which, subject to Section 9.06(b) of the Amended Credit Agreement, may include any Electronic Signatures transmitted by telecopy, emailed pdf. or any other electronic means that reproduces an image of an actual executed signature page). (b) The Lenders and the Administrative Agent shall have received all fees required to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3"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 be paid, and all expenses required to be reimbursed for which invoices have been presented (including the reasonable fees and expenses of legal counsel to the Administrative Agent), on or before the Amendment No. 1 Effective Date. 3. Representations and Warranties of the Borrower. The Loan Parties hereby represent and warrant as follows: (a) This Amendment and the Amended Credit Agreement constitute legal, valid and binding obligations of the Loan Parties, enforceable in accordance with its terms, subject to applicable bankruptcy, insolvency, reorganization, moratorium or other laws affecting creditors’ rights generally and subject to general principles of equity, regardless of whether considered in a proceeding in equity or at law. (b) As of the date hereof and after giving effect to the terms of this Amendment, (i) no Default or Event of Default has occurred and is continuing or would result therefrom and (ii) the representations and warranties of the Loan Parties set forth in this Amendment, the Amended Credit Agreement and the other Loan Documents are true and correct in all material respects with the same effect as though made on and as of the date hereof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4. Reference to and Effect on the Existing Credit Agreement. (a) Upon the effectiveness hereof, each reference to the Existing Credit Agreement in the Existing Credit Agreement or any other Loan Document shall mean and be a reference to the Amended Credit Agreement. (b) Each Loan Party hereby (i) agrees that this Amendment and the transactions contemplated hereby shall not limit or diminish its obligations arising under or pursuant to the Loan Documents to which it is a party, (ii) reaffirms all of its obligations under the Existing Credit Agreement and the other Loan Documents to which it is a party and (iii) acknowledges and agrees that the Existing Credit Agreement and each other Loan Document executed by it remains in full force and effect and is hereby reaffirmed, ratified and confirmed. (c) The execution, delivery and effectiveness of this Amendment shall not operate as a waiver of any right, power or remedy of the Lenders or the Administrative Agent under the Existing Credit Agreement or any of the other Loan Documents, nor constitute a waiver of any provision of any of the Loan Documents or any other documents, instruments and agreements executed and/or delivered in connection therewith. (d) This Amendment is a Loan Document. 5. Governing Law. This Amendment shall be governed by and construed in accordance with and governed by the law of the State of New York. The parties hereto agree that provisions of Sections 9.09 and 9.10 of the Amended Credit Agreement are hereby incorporated by reference, mutatis mutandis. 6. Headings. Section headings in this Amendment are included herein for convenience of reference only and shall not constitute a part of this Amendment for any other purpose.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7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4"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 7. Counterparts.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without limiting the foregoing, (i) to the extent the Administrative Agent has agreed to accept any Electronic Signature, the Administrative Agent and each of the Lenders shall be entitled to rely on such Electronic Signature purportedly given by or on behalf of the Loan Parties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8. No Novation. Neither the execution, delivery and acceptance of this Amendment nor any of the terms, covenants, conditions or other provisions set forth herein are intended, nor shall they be deemed or construed, to effect a novation of any liens or Obligations under the Existing Credit Agreement or to pay, extinguish, release, satisfy or discharge (a) the Obligations under the Existing Credit Agreement, (b) the liability of any Loan Party under the Existing Credit Agreement or the other Loan Documents executed and delivered in connection therewith or any Obligations or other obligations evidenced thereby, or (c) any mortgages, deeds of trust, liens, security interests or contractual or legal rights securing all or any part of such Obligations. 9. Reaffirmation. Except as expressly modified by this Amendment, all of the terms, provisions and conditions of the Existing Credit Agreement, as heretofore amended, shall remain unchanged and in full force and effect. Each Loan Party, as debtor, grantor, pledgor, guarantor, assignor, or in any other similar capacity in which such Person grants liens or security interests in its property or otherwise acts as accommodation party or guarantor, as the case may be, hereby (i) ratifies and reaffirms all of its payment and performance obligations, contingent or otherwise, under the Existing Credit Agreement and each other Loan Document to which it is a party (after giving effect hereto) and (ii) to the extent such Person granted liens on or security interests in any of its property pursuant to any Loan Documents as security for or otherwise guaranteed the Obligations under or with respect to the Loan Documents, ratifies and reaffirms such guarantee and grant of security interests and liens and confirms and agrees that such security interests and liens hereafter secure all of the Obligations as amended hereby. This Amendment shall not constitute a course of dealing with the Administrative Agent or any Lender at variance with the Existing Credit Agreement or the other Loan Documents such as to require further notice by such Person to require strict compliance with the terms of the Existing Credit Agreement and the other Loan Documents in the future. [Signature Pages Follow]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17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5"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17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6"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17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7"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1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8"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1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9"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48875" cy="13001625"/>
            <wp:effectExtent l="0" t="0" r="0" b="0"/>
            <wp:docPr id="1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0"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20300" cy="13001625"/>
            <wp:effectExtent l="0" t="0" r="0" b="0"/>
            <wp:docPr id="1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1" descr=""/>
                    <pic:cNvPicPr>
                      <a:picLocks noChangeAspect="1" noChangeArrowheads="1"/>
                    </pic:cNvPicPr>
                  </pic:nvPicPr>
                  <pic:blipFill>
                    <a:blip r:embed="rId129"/>
                    <a:stretch>
                      <a:fillRect/>
                    </a:stretch>
                  </pic:blipFill>
                  <pic:spPr bwMode="auto">
                    <a:xfrm>
                      <a:off x="0" y="0"/>
                      <a:ext cx="10020300"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2"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SANTANDER BANK, N.A., as a Lender By:_______________________________________ Name: Title: Senior Vice President Joseph Min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201150" cy="13001625"/>
            <wp:effectExtent l="0" t="0" r="0" b="0"/>
            <wp:docPr id="1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3" descr=""/>
                    <pic:cNvPicPr>
                      <a:picLocks noChangeAspect="1" noChangeArrowheads="1"/>
                    </pic:cNvPicPr>
                  </pic:nvPicPr>
                  <pic:blipFill>
                    <a:blip r:embed="rId131"/>
                    <a:stretch>
                      <a:fillRect/>
                    </a:stretch>
                  </pic:blipFill>
                  <pic:spPr bwMode="auto">
                    <a:xfrm>
                      <a:off x="0" y="0"/>
                      <a:ext cx="9201150"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[Signature Page to Amendment No. 1 to Second Amended and Restated Credit Agreement Dutch Bros., LLC, et. al.] U.S. BANK, NATIONAL ASSOCIATION, as a Lender By:_______________________________________ Name: Title: Prabhjit Singh AVP - Portfolio Manager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4"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EXHIBIT A Amended Credit Agreement [Attached]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5"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EXHIBIT A – AMENDED CREDIT AGREEMENT EXECUTION VERSION 780515116.151758994005.5 SECOND AMENDED AND RESTATED CREDIT AGREEMENT dated as of May 29, 2025 among DUTCH BROS., LLC, DB FRANCHISING USA, LLC and BOERSMA BROS. LLC, as Borrowers, The Other Loan Parties Party Hereto, The Lenders Party Hereto and JPMORGAN CHASE BANK, N.A., as Administrative Agent ___________________________ JPMORGAN CHASE BANK, N.A. and BOFA SECURITIES, INC., as Joint Bookrunners and Joint Lead Arrangers BOFA SECURITIES, INC., as Syndication Agent PNC BANK, NATIONAL ASSOCIATION, and WELLS FARGO BANK, N.A., as Co-Documentation Agents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6"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Page i ARTICLE I DEFINITIONS 1 SECTION 1.01 Defined Terms. 1 SECTION 1.02 Classification of Loans and Borrowings. 36 SECTION 1.03 Terms Generally. 36 SECTION 1.04 Accounting Terms; GAAP. 36 SECTION 1.05 Interest Rates; Benchmark Notifications. 37 SECTION 1.06 Pro Forma Adjustments for Acquisitions and Dispositions. 37 SECTION 1.07 Status of Obligations. 38 SECTION 1.08 Letters of Credit. 38 SECTION 1.09 Divisions. 38 SECTION 1.10 Rounding. 38 ARTICLE II THE CREDITS 39 SECTION 2.01 Commitments. 39 SECTION 2.02 Loans and Borrowings. 39 SECTION 2.03 Requests for Borrowings. 40 SECTION 2.04 [Reserved]. 40 SECTION 2.05 Swingline Loans. 41 SECTION 2.06 Letters of Credit. 42 SECTION 2.07 Funding of Borrowings. 47 SECTION 2.08 Interest Elections. 47 SECTION 2.09 Termination and Reduction of Commitments; Increase in Revolving Commitments. 49 SECTION 2.10 Repayment and Amortization of Loans; Evidence of Debt. 51 SECTION 2.11 Prepayment of Loans. 53 SECTION 2.12 Fees. 54 SECTION 2.13 Interest. 55 SECTION 2.14 Alternate Rate of Interest; Illegality. 56 SECTION 2.15 Increased Costs. 59 SECTION 2.16 Break Funding Payments. 60 SECTION 2.17 Withholding of Taxes; Gross-Up. 60 SECTION 2.18 Payments Generally; Allocation of Proceeds; Sharing of Setoffs. 64 SECTION 2.19 Mitigation Obligations; Replacement of Lenders. 66 SECTION 2.20 Defaulting Lenders. 67 SECTION 2.21 Returned Payments. 69 SECTION 2.22 Banking Services and Swap Agreements. 69 ARTICLE III REPRESENTATIONS AND WARRANTIES 70 SECTION 3.01 Organization; Powers. 70 SECTION 3.02 Authorization; Enforceability. 70 SECTION 3.03 Governmental Approvals; No Conflicts. 70 SECTION 3.04 Financial Condition; No Material Adverse Change. 70 SECTION 3.05 Properties. 71 SECTION 3.06 Litigation and Environmental Matters. 71 SECTION 3.07 Compliance with Laws and Agreements; No Default. 71 SECTION 3.08 Investment Company Status. 71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7"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(continued) Page ii SECTION 3.09 Taxes. 71 SECTION 3.10 ERISA. 72 SECTION 3.11 Disclosure. 72 SECTION 3.12 Material Agreements. 72 SECTION 3.13 Solvency. 72 SECTION 3.14 Insurance. 73 SECTION 3.15 Capitalization and Subsidiaries. 73 SECTION 3.16 Security Interest in Collateral. 73 SECTION 3.17 Employment Matters. 73 SECTION 3.18 Margin Regulations. 74 SECTION 3.19 Use of Proceeds. 74 SECTION 3.20 No Burdensome Restrictions. 74 SECTION 3.21 Anti-Corruption Laws, Anti-Money Laundering Laws and Sanctions. 74 SECTION 3.22 Affected Financial Institutions. 74 SECTION 3.23 Plan Assets; Prohibited Transactions. 74 SECTION 3.24 Affiliate Transactions. 74 SECTION 3.25 Outbound Investment Rules 74 ARTICLE IV CONDITIONS 75 SECTION 4.01 Effective Date. 75 SECTION 4.02 Each Credit Event. 77 ARTICLE V AFFIRMATIVE COVENANTS 78 SECTION 5.01 Financial Statements and Other Information. 78 SECTION 5.02 Notices of Material Events. 80 SECTION 5.03 Existence; Conduct of Business. 81 SECTION 5.04 Payment of Obligations. 81 SECTION 5.05 Maintenance of Properties. 81 SECTION 5.06 Books and Records; Inspection Rights. 81 SECTION 5.07 Compliance with Laws and Material Contractual Obligations. 81 SECTION 5.08 Use of Proceeds. 82 SECTION 5.09 Accuracy of Information. 82 SECTION 5.10 Insurance. 82 SECTION 5.11 [Reserved]. 82 SECTION 5.12 Casualty and Condemnation. 82 SECTION 5.13 Depository Banks. 83 SECTION 5.14 Additional Collateral; Further Assurances. 83 SECTION 5.15 Post-Closing Obligations. 84 ARTICLE VI NEGATIVE COVENANTS 84 SECTION 6.01 Indebtedness. 84 SECTION 6.02 Liens. 85 SECTION 6.03 Fundamental Changes. 86 SECTION 6.04 Investments, Loans, Advances, Guarantees and Acquisitions. 87 SECTION 6.05 Asset Sales. 89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8"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(continued) Page iii SECTION 6.06 Sale and Leaseback Transactions. 90 SECTION 6.07 Swap Agreements. 90 SECTION 6.08 Restricted Payments; Certain Payments of Indebtedness. 90 SECTION 6.09 Transactions with Affiliates. 91 SECTION 6.10 Restrictive Agreements. 91 SECTION 6.11 Amendment of Material Documents. 91 SECTION 6.12 Financial Covenants. 92 SECTION 6.13 Outbound Investment Rules 92 ARTICLE VII EVENTS OF DEFAULT 92 SECTION 7.01 Events of Default 92 SECTION 7.02 Remedies Upon an Event of Default 95 ARTICLE VIII THE ADMINISTRATIVE AGENT 95 SECTION 8.01 Authorization and Action. 95 SECTION 8.02 Administrative Agent’s Reliance, Limitation of Liability, Etc. 97 SECTION 8.03 Posting of Communications. 99 SECTION 8.04 The Administrative Agent Individually. 100 SECTION 8.05 Successor Administrative Agent. 100 SECTION 8.06 Acknowledgements of Lenders and Issuing Banks. 101 SECTION 8.07 Collateral Matters. 103 SECTION 8.08 Credit Bidding. 104 SECTION 8.09 Certain ERISA Matters. 105 SECTION 8.10 Borrower Communications. 106 ARTICLE IX MISCELLANEOUS 107 SECTION 9.01 Notices. 107 SECTION 9.02 Waivers; Amendments. 108 SECTION 9.03 Expenses; Limitation of Liability; Indemnity; Etc. 111 SECTION 9.04 Successors and Assigns. 113 SECTION 9.05 Survival. 117 SECTION 9.06 Counterparts; Integration; Effectiveness; Electronic Execution. 117 SECTION 9.07 Severability. 118 SECTION 9.08 Right of Setoff. 119 SECTION 9.09 Governing Law; Jurisdiction; Consent to Service of Process. 119 SECTION 9.10 WAIVER OF JURY TRIAL. 120 SECTION 9.11 Headings. 120 SECTION 9.12 Confidentiality. 120 SECTION 9.13 Several Obligations; Nonreliance; Violation of Law. 122 SECTION 9.14 USA PATRIOT Act. 122 SECTION 9.15 Disclosure. 122 SECTION 9.16 Appointment for Perfection. 122 SECTION 9.17 Interest Rate Limitation. 122 SECTION 9.18 No Fiduciary Duty, etc. 122 SECTION 9.19 Marketing Consent. 123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8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9"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TABLE OF CONTENTS (continued) Page iv SECTION 9.20 Acknowledgement and Consent to Bail-In of Affected Financial Institutions. 123 SECTION 9.21 Acknowledgement Regarding Any Supported QFCs. 124 SECTION 9.22 Joint and Several. 124 ARTICLE X LOAN GUARANTY 125 SECTION 10.01 Guaranty. 125 SECTION 10.02 Guaranty of Payment. 126 SECTION 10.03 No Discharge or Diminishment of Loan Guaranty. 126 SECTION 10.04 Defenses Waived. 126 SECTION 10.05 Rights of Subrogation. 127 SECTION 10.06 Reinstatement; Stay of Acceleration. 127 SECTION 10.07 Information. 127 SECTION 10.08 Termination. 127 SECTION 10.09 Taxes. 127 SECTION 10.10 Maximum Liability. 128 SECTION 10.11 Contribution. 128 SECTION 10.12 Liability Cumulative. 129 SECTION 10.13 Keepwell. 129 ARTICLE XI THE BORROWER REPRESENTATIVE 129 SECTION 11.01 Appointment; Nature of Relationship. 129 SECTION 11.02 Powers. 129 SECTION 11.03 Employment of Agents. 129 SECTION 11.04 Notices. 129 SECTION 11.05 Successor Borrower Representative. 130 SECTION 11.06 Execution of Loan Documents. 130 SECTION 11.07 Reporting. 130 SECTION 11.08 Amendment and Restatement 130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0"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SCHEDULES: Commitment Schedule Schedule 2.06 Existing Letter of Credit Schedule 3.05 Properties, etc. Schedule 3.15 Capitalization and Subsidiaries Schedule 3.24 Affiliate Transactions Schedule 5.15 Post-Closing Obligations Schedule 6.01 Existing Indebtedness Schedule 6.02 Existing Liens Schedule 6.04 Existing Investments Schedule 6.10 Existing Restrictions EXHIBITS: Exhibit A Assignment and Assumption Exhibit B-1 U.S. Tax Compliance Certificate (For Foreign Lenders That Are Not Partnerships For U.S. Federal Income Tax Purposes) Exhibit B-2 U.S. Tax Compliance Certificate (For Foreign Participants That Are Not Partnerships For U.S. Federal Income Tax Purposes) Exhibit B-3 U.S. Tax Compliance Certificate (For Foreign Participants That Are Partnerships For U.S. Federal Income Tax Purposes) Exhibit B-4 U.S. Tax Compliance Certificate (For Foreign Lenders That Are Partnerships For U.S. Federal Income Tax Purposes) Exhibit C Compliance Certificate Exhibit D Joinder Agreement i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1"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SECOND AMENDED AND RESTATED CREDIT AGREEMENT dated as of May 29, 2025 (as it may be amended, restated, amended and restated, supplemented or otherwise modified from time to time, this “Agreement”), among DUTCH BROS., LLC, an Oregon limited liability company (the “Company”), DB FRANCHISING USA, LLC, an Oregon limited liability company (“DB USA”), BOERSMA BROS. LLC, an Oregon limited liability company (“Boersma” and, together with the Company and DB USA, collectively, the “Borrowers” and each, individually, a “Borrower”), the other Loan Parties party hereto, the Lenders party hereto, and JPMORGAN CHASE BANK, N.A., as Administrative Agent. The Borrowers, the other Loan Parties from time to time party thereto, the Lenders from time to time party thereto and the Administrative Agent are parties to that certain Amended and Restated Credit Agreement, dated as of February 28, 2022 (as amended, restated, amended and restated, supplemented or otherwise modified from time to time prior to the date hereof, the “Existing Credit Agreement”). Subject to the conditions set forth herein, the parties wish to amend and restate the Existing Credit Agreement in its entirety as set forth herein. The parties hereto agree as follows: ARTICLE I DEFINITIONS SECTION 1.01 Defined Terms. As used in this Agreement, the following terms have the meanings specified below: “ABR”, when used in reference to (a) a rate of interest, refers to the Alternate Base Rate, and (b) any Loan or Borrowing, refers to whether such Loan, or the Loans comprising such Borrowing, bear interest at a rate determined by reference to the Alternate Base Rate. “Account” has the meaning assigned to such term in the Security Agreement. “Account Debtor” means any Person obligated on an Account. “Acquisition” means any transaction, or any series of related transactions, consummated after the Effective Date, by which any Loan Party (a) acquires any going concern business (or a division or line of business thereof)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such Person (other than Equity Interests having such power only by reason of the happening of a contingency) or a majority of the outstanding Equity Interests of a Person. “Administrative Agent” means JPMorgan Chase Bank, N.A. (or any of its designated branch offices or affiliates), in its capacity as administrative agent for the Lenders hereunder. “Administrative Questionnaire” means an Administrative Questionnaire in a form supplied by the Administrative Agent.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2"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specified Person; provided that a Person shall not be an Affiliate of Borrowers solely by reason of such Person’s status as a Dutch Bros. franchisee or due to any provisions under any franchise agreement between such Person and a Loan Party giving such Loan Party customary control with respect to franchise-related matters. “Agent-Related Person” has the meaning assigned to it in Section 9.03(d). “Aggregate Credit Exposure” means, at any time, the aggregate Credit Exposure of all the Lenders at such time. “Aggregate Revolving Exposure” means, at any time, the aggregate Revolving Exposure of all the Lenders at such time. “Agreement” has the meaning specified in the introductory paragraph hereof. “Alternate Base Rate” means, for any day, a rate per annum equal to the greatest of (a) the Prime Rate in effect on such day, (b) the NYFRB Rate in effect on such day plus ½ of 1%, and (c) the Term SOFR Rate for a one-month Interest Period as published two (2) U.S. Government Securities Business Days prior to such day (or if such day is not a U.S. Government Securities Business Day, the immediately preceding U.S. Government Securities Business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 “Amendment No. 1 Effective Date” means October 29, 2026. “Ancillary Document” has the meaning assigned to it in Section 9.06(b). “Anti-Corruption Laws” means all laws, rules, and regulations of any jurisdiction applicable to any Loan Party or any Subsidiaries of any Loan Party from time to time concerning or relating to bribery or corruption. “Anti-Money Laundering Laws” mean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 U.S.C. §§ 1818(s), 1820(b) and 1951-1959). “Applicable Parties” has the meaning assigned to it in Section 8.03(c). “Applicable Percentage” means, at any time with respect to any Lender: 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3"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 0.75% 1.25% 1.75% ABR Spread 0.35% 2.25% (a) with respect to Revolving Loans, LC Exposure or Swingline Loans,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and (b) with respect to the Term Loans, a percentage equal to a fraction the numerator of which is the aggregate outstanding principal amount of the Term Loans of such Lender and the denominator of which is the aggregate outstanding principal amount of the Term Loans of all Term Lenders; provided that, (i) in accordance with Section 2.20, so long as any Lender shall be a Defaulting Lender, such Defaulting Lender’s Commitment shall be disregarded in the calculations under clause (a) above and (ii) for purposes of Section 9.03(d), the Applicable Percentages shall be determined based upon such Lender’s share of the aggregate exposure under clauses (a) and (b) above. “Applicable Rate” means, for any day, with respect to any Loan, or with respect to the commitment fees payable hereunder, as the case may be, the applicable rate per annum set forth below under the caption “ABR Spread”, “Term Benchmark and RFR Spread” or “Revolving Commitment Fee Rate”, as the case may be, based upon the Net Lease-Adjusted Total Leverage Ratio as of the most recent determination date, provided that from and after the Effective Date until the delivery to the Administrative Agent, pursuant to Section 5.01, of Holdings’ consolidated financial information for the fiscal quarter ending September 30, 2025, the “Applicable Rate” shall be the applicable rates per annum set forth below in Category 4: Category 4 &lt; 3.00 to 1.00 but ≥ 2.00 to 1.00 0.45% 0.50% Term Benchmark and RFR Spread 1.50% 0.30% Category 2 &lt; 4.50 to 1.00 but ≥ 3.75 to 1.00 Category 5 &lt; 2.00 to 1.00 but ≥ 1.25 to 1.00 Revolving Commitment Fee Rate 0.25% 1.00% 1.25% 0.25% 2.00% Category 6 &lt; 1.25 to 1.00 0.40% 0.00% Net Lease-Adjusted Total Leverage Ratio 1.00% 0.20% Category 1 ≥ 4.50 to 1.00 For purposes of the foregoing, (a) the Applicable Rate shall be determined as of the end of each fiscal quarter of Holdings, based upon Holdings’ annual or quarterly consolidated financial statements delivered pursuant to Section 5.01 and (b) each change in the Applicable Rate resulting from a change in Category 3 &lt; 3.75 to 1.00 but ≥ 3.00 to 1.00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4"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Net Lease-Adjusted Total Leverage Ratio shall be effective during the period commencing on and including the date that is three (3) Business Days after the date of delivery to the Administrative Agent of such consolidated financial statements indicating such change and ending on the date immediately preceding the effective date of the next such change, provided that at the option of the Administrative Agent or at the request of the Required Lenders, if the Borrowers fail to deliver the annual or quarterly consolidated financial statements required to be delivered by it pursuant to Section 5.01, the Net Lease-Adjusted Total Leverage Ratio shall be deemed to be in Category 1 during the period from the expiration of the time for delivery thereof until the third Business Day following the date on which such consolidated financial statements are delivered. 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Borrowers shall be required to retroactively pay any additional amount that the Borrowers would have been required to pay if such financial statements, Compliance Certificate or other information had been accurate and/or computed correctly at the time they were delivered. “Approved Borrower Portal” has the meaning assigned to it in Section 8.10(a). “Approved Electronic Platform” has the meaning assigned to it in Section 8.03(a). “Approved Fund” has the meaning assigned to the term in Section 9.04(b). “Arranger” means each of JPMorgan Chase Bank, N.A. and BofA Securities, Inc., in their capacities as joint bookrunners and joint lead arrangers hereunder. “Assignment and Assumption” means an assignment and assumption agreement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 “Availability Period” means the period from and including the Effective Date to but excluding the earlier of the Revolving Credit Maturity Date and the date of termination of the Revolving Commitments (and, if such day is not a Business Day, then on the immediately preceding Business Day). “Available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5"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“Banking Services” means each and any of the following bank services provided to any Loan Party or any Subsidiary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cash pooling services) and (e) Permitted Supplier Financing. “Banking Services Obligations” means any and all obligations of the Loan Parties or their Subsidiaries, whether absolute or contingent and howsoever and whensoever created, arising, evidenced or acquired (including all renewals, extensions and modifications thereof and substitutions therefor) in connection with Banking Services. “Bankruptcy Code” means Title 11 of the United States Code entitled “Bankruptcy”, as now and hereafter in effect, or any successor statute. “Bankruptcy Event”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 “Benchmark” means, initially, with respect to any (i) RFR Loan (following a Benchmark Transition Event and Benchmark Replacement Date with respect to the Term SOFR Rate),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2.14. “Benchmark Replacement” means, for any Available Tenor, the first alternative set forth in the order below that can be determined by the Administrative Agent for the applicable Benchmark Replacement Date: (1) the Daily Simple SOFR; (2) the sum of: (a) the alternate benchmark rate that has been selected by the Administrative Agent and the Borrower Representative as the replacement for the then-current Benchmark for the 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6"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Conforming Changes”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7"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(or such component thereof) to be no longer representative; provided,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 (3)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(2) of that definition has occurred if, at such time, no Benchmark Replacement has replaced such then-current 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8"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Benchmark for all purposes hereunder and under any Loan Document in accordance with Section 2.14 and (y) ending at the time that a Benchmark Replacement has replaced such then-current Benchmark for all purposes hereunder and under any Loan Document in accordance with Section 2.14. “Beneficial Ownership Certification” means a certification regarding beneficial ownership or control as required by the Beneficial Ownership Regulation. “Beneficial Ownership Regulation” means 31 C.F.R. § 1010.230. “Benefit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“BHC Act Affiliate” of a party means an “affiliate” (as such term is defined under, and interpreted in accordance with, 12 U.S.C. 1841(k)) of such party. “Borrower” or “Borrowers” has the meaning assigned to such term in the introductory paragraph hereto and each other Person who joins this Agreement as a Borrower from time to time. “Borrower Representative” has the meaning assigned to such term in Section 11.01. “Borrowing” means (a) a Revolving Borrowing, (b) Term Loans of the same Type made, converted or continued on the same date and, in the case of Term Benchmark Loans, as to which a single Interest Period is in effect, and (c) a Swingline Borrowing. “Borrowing Request” means a request by the Borrower Representative for a Borrowing in accordance with Section 2.03, which shall be substantially in the form approved by the Administrative Agent and separately provided to the Borrowers. “Burdensome Restrictions” means any consensual encumbrance or restriction of the type described in clause (a) or (b) of Section 6.10. “Business Day” means any day (other than a Saturday or a Sunday) on which banks are open for business in New York City; provided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Term SOFR Rate and any interest rate settings, fundings, disbursements, settlements, or payments of any such Loans referencing the Term SOFR Rate or any other dealings of such Loans referencing the Term SOFR Rate. “Capital Expenditures” means, without duplication, any expenditure or commitment to expend money for any purchase or other acquisition of any asset which would be classified as a fixed or capital asset on a consolidated balance sheet of Holdings and its Subsidiaries prepared in accordance with GAAP. “Capital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19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89"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obligations shall be the capitalized amount thereof determined in accordance with GAAP, subject in each case to Section 1.04(b). “Change in Control” means (a) Holdings shall cease to own, free and clear of all Liens or other encumbrances, at least 100% of the outstanding Equity Interests of each Borrower on a fully diluted basis, (b) the Borrowers shall cease to own, free and clear of all Liens or other encumbrances, at least 100% of the outstanding Equity Interests of each of their Subsidiaries on a fully diluted basis, or (c) a person or group (within the meaning of Section 13(d)(3) or Section 14(d)(2) of the Securities Exchange Act of 1934) other than the Permitted Holders shall, directly or indirectly, beneficially or of record, own more than the lesser of (x) 35 % of the outstanding voting Equity Interests of Holdings on a fully diluted basis and (y) the percentage of the outstanding voting Equity Interests of Holdings owned by the Permitted Holders. “Change in Law”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 “Charges” has the meaning assigned to such term in Section 9.17. “Chase” means JPMorgan Chase Bank, N.A., a national banking association, in its individual capacity, and its successors. “Class”, when used in reference to (a) any Loan or Borrowing, refers to whether such Loan, or the Loans comprising such Borrowing, are Revolving Loans, a Term Loan or Swingline Loans, (b) any Commitment, refers to whether such Commitment is a Revolving Commitment or a Term Commitment and (c) any Lender, refers to whether such Lender has a Loan or Commitment of a particular Class. “CME Term SOFR Administrator” means CME Group Benchmark Administration Limited as administrator of the forward-looking term SOFR (or a successor administrator). “Code” means the Internal Revenue Code of 1986, as amended from time to time. “Collateral” means any and all property owned, leased or operated by a Person covered by the Collateral Documents, now existing or hereafter acquired, and any and all other property that may at any time be, become or be intended to be subject to a security interest or Lien in favor of the Administrative Agent, on behalf of itself and the Lenders and other Secured Parties, to secure the Secured Obligations. “Collateral Access Agreement” has the meaning assigned to such term in the Security Agreement. 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0"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Collateral Documents”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 in such form as reasonably acceptable to the Borrowers and the Administrative Agent. “Commercial LC Exposure” means, at any time, the sum of (a) the aggregate undrawn amount of all outstanding commercial Letters of Credit plus (b) the aggregate amount of all LC Disbursements relating to commercial Letters of Credit that have not yet been reimbursed by or on behalf of the Borrowers. The Commercial LC Exposure of any Revolving Lender at any time shall be its Applicable Percentage of the aggregate Commercial LC Exposure at such time. “Commitment” means, with respect to each Lender, the sum of such Lender’s Revolving Commitment and Term Commitments. The initial amount of each Lender’s Commitment is set forth on the Commitment Schedule, or in the Assignment and Assumption or other documentation or record (as such term is defined in Section 9-102(a)(70) of the New York Uniform Commercial Code) as provided in Section 9.04(b)(ii)(C), pursuant to which such Lender shall have assumed its Commitment, as applicable. “Commitment Schedule” means the Schedule attached hereto identified as such. “Commodity Exchange Act” means the Commodity Exchange Act (7 U.S.C. § 1 et seq.), as amended from time to time, and any successor statute. “Communications” has the meaning assigned to such term in Section 8.03(c). “Company” has the meaning assigned to such term in the introductory paragraph hereto. “Compliance Certificate” means a certificate of a Financial Officer of the Borrower Representative in substantially the form of Exhibit C or any other form approved by the Administrative Agent. “Connection Income Taxes” means Other Connection Taxes that are imposed on or measured by net income (however denominated) or that are franchise Taxes or branch profits Taxes.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“Corresponding Tenor” with respect to any Available Tenor means, as applicable, either a tenor (including overnight) or an interest payment period having approximately the same length (disregarding business day adjustment) as such Available Tenor. “Coverage Ratio” means, the ratio of (a) EBITDAR, to (b) the sum of cash Rent Expenses, plus cash Interest Expense, all calculated for Holdings and its Subsidiaries on a consolidated basis in accordance with GAAP (subject to, for the avoidance of doubt, the provisions of Section 1.04(b)). “Covered Entity” means any of the following: 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1"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“Covered Party” has the meaning assigned to it in Section 9.21. “Credit Exposure” means, as to any Lender at any time, the sum of (a) such Lender’s Revolving Exposure at such time plus (b) an amount equal to the aggregate principal amount of its Term Loans outstanding at such time. “Credit Party” means the Administrative Agent, the Issuing Bank, the Swingline Lender or any other Lender. “Daily Simple SOFR” means, for any day (a “SOFR Rate Day”), a rate per annum equal to SOFR for the day (such day, a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the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any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“Default” means any event or condition which constitutes an Event of Default or which upon notice, lapse of time or both would, unless cured or waived, become an Event of Default. “Default Right” has the meaning assigned to that term in, and shall be interpreted in accordance with, 12 C.F.R. §§ 252.81, 47.2 or 382.1, as applicable. “Defaulting Lender” means, subject to the last sentence of Section 2.20,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11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2"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 “Disposition” or “Dispose”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“Disqualified Stock” means any Equity Interest that, by its terms (or by the terms of any security or other Equity Interests into which it is convertible or for which it is exchangeable), or upon the happening of any event or condition (a) is mandatorily redeemable (other than solely for Qualified Stock), pursuant to a sinking fund obligation or otherwise (except as a result of a change of control, initial public offering or asset sale so long as any rights of the holders thereof upon the occurrence of a change of control, initial public offering or asset sale event shall be subject to the prior Payment in Full of the Loans and all other Obligations (other than unasserted contingent indemnification obligations that by their terms survive)), (b) is redeemable at the option of the holder thereof (other than solely for Qualified Stock and other than as a result of a change of control, initial public offering or asset sale so long as any rights of the holders thereof upon the occurrence of a change of control, initial public offering or asset sale event shall be subject to the prior Payment in Full of the Loans and all other Obligations (other than unasserted contingent indemnification obligations that by their terms survive)), in whole or in part, or (c) is or becomes automatically or at the option of the holder convertible into or exchangeable for Indebtedness or any other Equity Interests that would constitute Disqualified Stock, in the case of each of clauses (a), (b) and (c), prior to the date that is ninety-one (91) days after the latest Maturity Date in effect at the time of issuance; provided that if such Equity Interests are issued to any current or former employees, consultants, directors, officers or members of management or pursuant to a plan for the benefit of current or former employees, consultants, directors, officers or members of management of any Borrower or its Subsidiaries or by any such plan to such current or former employees, consultants, directors, officers or members of management, such Equity Interests shall not constitute Disqualified Stock solely because they may be required to be repurchased by any Borrower or its Subsidiaries in order to satisfy applicable statutory or regulatory obligations or as a result of such employees’, consultants’, directors’, officers’ or management members’ termination, death or disability. “Dividing Person” has the meaning assigned to it in the definition of “Division”. “Division”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 “Division Successor” means any Person that, upon the consummation of a Division of a Dividing Person, holds all or any portion of the assets, liabilities and/or obligations previously held by such Dividing Person immediately prior to the consummation of such Division. A Dividing Person which 12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3"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retains any of its assets, liabilities and/or obligations after a Division shall be deemed a Division Successor upon the occurrence of such Division. “Document” has the meaning assigned to such term in the Security Agreement. “dollars” or “$” refers to lawful money of the U.S. “EBITDAR” means, for any period, Net Income for such period plus (a) without duplication and to the extent deducted in determining Net Income for such period, the sum of (i) Interest Expense for such period, (ii) income tax expense for such period, (iii) all amounts attributable to depreciation and amortization expense for such period, (iv) any extraordinary non-cash charges for such period, (v) any other non-cash charges for such period (but excluding any non-cash charge in respect of an item that was included in Net Income in a prior period and any non-cash charge that relates to the write-down or write-off of inventory), (vi) Rental Expense for such period, (vii) the pre-opening expenses actually incurred in connection with acquiring, developing and opening any new Stores; provided that the aggregate amount of addbacks made under this clause (a)(vii) and clause (a)(viii) taken together in any period shall not exceed fifteen percent (15 %) of EBITDAR (calculated before giving effect to such addbacks) for such period, (viii) any non-recurring cash charges, including as a result of discontinued operations and severance and restructuring costs; provided that the aggregate amount of addbacks made under this clauses (a)(viii) and clause (a)(vii) taken together in any period shall not exceed fifteen percent (15%) of EBITDAR (calculated before giving effect to such addbacks) for such period, and (ix) to the extent not included in clause (a)(iv) for such period, non-cash charges for equity-based and stock-based compensation for such period, as calculated for Holdings and its Subsidiaries on a consolidated basis for such period in accordance with GAAP, minus (b) without duplication and to the extent included in Net Income for such period, (i) any cash payments made during such period in respect of non-cash charges described in clause (a)(v) taken in a prior period and (ii) any extraordinary gains and any non-cash items of income for such period, all calculated for Holdings and its Subsidiaries on a consolidated basis in accordance with GAAP. “ECP” means an “eligible contract participant” as defined in Section 1(a)(18) of the Commodity Exchange Act or any regulations promulgated thereunder and the applicable rules issued by the Commodity Futures Trading Commission and/or the SEC.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the date on which the conditions specified in Section 4.01 are satisfied (or waived in accordance with Section 9.02). 13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4"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Electronic Signature” means an electronic sound, symbol, or process attached to, or associated with, a contract or other record and adopted by a Person with the intent to sign, authenticate or accept such contract or record. “Electronic System” means any electronic system, including e-mail, e-fax, web portal access for the Borrowers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 “Environmental Laws”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“Environmental Liability” means any liability, contingent or otherwise (including any liability for damages, costs of environmental remediation, fines, penalties or indemnities), of any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 “Equipment” has the meaning assigned to such term in the Security Agreement. “Equity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 “ERISA” means the Employee Retirement Income Security Act of 1974, as amended from time to time, and the rules and regulations promulgated thereunder. “ERISA Affiliate”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14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5"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ERISA Affiliate of Withdrawal Liability or a determination that a Multiemployer Plan is, or is expected to be, insolvent, in critical status or in reorganization, within the meaning of Title IV of ERISA. “EU Bail-In Legislation Schedule” means the EU Bail-In Legislation Schedule published by the Loan Market Association (or any successor Person), as in effect from time to time. “Events of Default” has the meaning assigned to such term in Section 7.01. “Excluded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 “Existing Letter of Credit” means each letter of credit issued prior to the Effective Date by a Person that shall be an Issuing Bank and listed on Schedule 2.06. “Existing Credit Agreement” has the meaning specified in the preamble hereof. “FATCA”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 “Federal Funds Effective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15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6"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determined would be less than 0.00%, such rate shall be deemed to be 0.00% for the purposes of this Agreement. “Federal Reserve Board” means the Board of Governors of the Federal Reserve System of the United States of America. “Financial Officer” means the chief financial officer, principal accounting officer, treasurer or controller of a Borrower or Holdings, as applicable. “Floor” means the benchmark rate floor, if any, provided in this Agreement (as of the execution of this Agreement, the modification, amendment or renewal of this Agreement or otherwise) with respect to the Term SOFR Rate or the Daily Simple SOFR, as applicable. For the avoidance of doubt, the initial Floor for each of Term SOFR Rate or Daily Simple SOFR shall be 0.00%. “Foreign Lender” means (a) if a Borrower is a U.S. Person, a Lender that is not a U.S. Person, and (b) if a Borrower is not a U.S. Person, a Lender that is resident or organized under the laws of a jurisdiction other than that in which such Borrower is resident for tax purposes. “Franchise Acquisition” means an Acquisition by a Loan Party as franchisor of a franchise location pursuant to (i) the terms of an option for the franchisor’s benefit (either set forth in the body of the franchise agreement or in a separate purchase option agreement attached as an exhibit thereto) that provides the franchisor with the right to repurchase the franchise from the franchisee or to require the franchisee to transfer its assets to the franchisor, in each case, for a purchase price based upon an agreed-upon formula and such other terms as set forth in such franchise agreement or purchase option agreement or (ii) the terms and conditions agreed to by the franchisee and such Loan Party as set forth in a written purchase agreement. “Funded Indebtedness” means, at any date, the aggregate principal amount of all Indebtedness of Holdings and its Subsidiaries on a consolidated basis consisting of (a) Indebtedness for borrowed money, (b) obligations under letters of credit (including Letters of Credit), bankers acceptances or similar obligations, (c) Capital Lease Obligations and obligations in respect of synthetic leases, sale leaseback transactions and purchase money indebtedness, (d) debt obligations evidenced by promissory notes, seller notes, or similar instruments, obligations under any earn-out and other off-balance sheet transactions (including Off-Balance Sheet Liabilities), and (e) guarantees of any of the foregoing. “Funding Account” has the meaning assigned to such term in Section 4.01(h). “GAAP” means generally accepted accounting principles in the U.S. “Governmental Authority”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“Guarantee”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16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7"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“Guaranteed Obligations” has the meaning assigned to such term in Section 10.01. “Guarantors” means all Loan Guarantors, and the term “Guarantor” means each or any one of them individually. “Hazardous Materials”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 “Holdings” means Dutch Mafia, LLC, a Delaware limited liability company. “Immaterial Subsidiary” means, as of any date of determination, any Subsidiary of Holdings (other than a Borrower) that does not contribute (a) individually, more than 2.5% of EBITDAR of Holdings and its Subsidiaries or (b) in the aggregate together with all other Immaterial Subsidiaries, more than 5.0% of EBITDAR of Holdings and its Subsidiaries. “Incremental Facility” has the meaning set forth in Section 2.09(f). “Incremental Revolving Facility” has the meaning set forth in Section 2.09(f). “Incremental Term Loan Facility” has the meaning set forth in Section 2.09(f). “Indebtedness” of any Person means, without duplication, (a) all obligations of such Person for borrowed money or with respect to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accounts payable incurred in the ordinary course of business that are not overdue for more than 90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other than the definition of “Funded Indebtedness”, shall be valued at the maximum potential amount payable with respect to each such earn-out, and for purposes of the definition of “Funded Indebtedness” shall be valued in accordance with GAAP), (l) any other Off-Balance Sheet Liability, (m) all Disqualified Stock of such Person and (n) obligations, whether 17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8"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“Indemnified Taxes” means (a) Taxes, other than Excluded Taxes, imposed on or with respect to any payment made by or on account of any obligation of any Loan Party under any Loan Document and (b) to the extent not otherwise described in the foregoing clause (a), Other Taxes. “Indemnitee” has the meaning assigned to such term in Section 9.03(c). “Ineligible Institution” has the meaning assigned to such term in Section 9.04(b). “Information” has the meaning assigned to such term in Section 9.12. “Interest Election Request” means a request by the Borrower Representative to convert or continue a Borrowing in accordance with Section 2.08, which shall be substantially in the form approved by the Administrative Agent and separately provided to the Borrowers. “Interest Expense” means, with reference to any period, total interest expense (including that attributable to Capital Lease Obligations) of Holdings and its Subsidiaries for such period with respect to all outstanding Indebtedness of Holdings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Holdings and its Subsidiaries on a consolidated basis for such period in accordance with GAAP. “Interest Payment Date” means (a) with respect to any ABR Loan (other than a Swingline Loan), the first Business Day of each calendar quarter and the Revolving Credit Maturity Date or the Term Maturity Date, as applicable, (b) with respect to any RFR Loan, each date that is on the numerically corresponding day in each calendar month that is one month after the Borrowing of such Loan (or, if there is no such numerically corresponding day in such month, then the last day of such month) and Revolving Credit Maturity Date or the Term Maturity Date, as applicable;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Credit Maturity Date or the Term Maturity Date, as applicable, and (d) with respect to any Swingline Loan, the day that such Loan is required to be repaid and the Revolving Credit Maturity Date. “Interest Period”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18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0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99"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in the case of a Revolving Borrowing, shall be the effective date of the most recent conversion or continuation of such Borrowing. “Inventory” has the meaning assigned to such term in the Security Agreement. “IRS” means the United States Internal Revenue Service. “Issuing Bank” means, individually and collectively, each of Chase, Bank of America, N.A. and any other Revolving Lender from time to time designated by the Borrower Representative as an Issuing Bank (in each case, through itself or through one of its designated affiliates or branch offices), with the consent of such Revolving Lender and the Administrative Agent, each in its capacity as the issuer of Letters of Credit hereunder, and its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 “Issuing Bank Sublimit” means, as of the Effective Date, (i) $50,000,000, in the case of Chase, (ii) $50,000,000, in the case of Bank of America, N.A., and (iii) such amount as shall be designated to the Administrative Agent and the Borrower Representative in writing by any other Issuing Bank; provided that any Issuing Bank shall be permitted at any time to increase or reduce its Issuing Bank Sublimit upon providing five (5) days’ prior written notice thereof to the Administrative Agent and the Borrower Representative. “Joinder Agreement” means a Joinder Agreement in substantially the form of Exhibit D or any other form approved by the Administrative Agent. “LC Collateral Account” has the meaning assigned to such term in Section 2.06(j). “LC Disbursement” means any payment made by an Issuing Bank pursuant to a Letter of Credit. “LC Exposure” means, at any time, the sum of the Commercial LC Exposure and the Standby LC Exposure at such time. The LC Exposure of any Revolving Lender at any time shall be its Applicable Percentage of the aggregate LC Exposure at such time. “Lender Parent” means, with respect to any Lender, any Person as to which such Lender is, directly or indirectly, a subsidiary. “Lender-Related Person” has the meaning assigned to such term in Section 9.03(b). “Lenders” means the Persons listed on the Commitment Schedule (or if the Commitments have terminated or expired, a Person holding Credit Exposure) and any other Person that shall have become a Lender hereunder pursuant to Section 2.09 or an Assignment and Assumption or otherwise, other than 19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0"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any such Person that ceases to be a Lender hereunder pursuant to an Assignment and Assumption or otherwise. Unless the context otherwise requires, the term “Lenders” includes the Swingline Lender and the Issuing Bank. “Letters of Credit” means the letters of credit issued pursuant to this Agreement and shall include each Existing Letter of Credit, and the term “Letter of Credit” means any one of them or each of them singularly, as the context may require. “Letter of Credit Agreement” has the meaning assigned to it in Section 2.06(b). “Liabilities” means any losses, claims (including intraparty claims), demands, damages or liabilities of any kind. “Lien”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“Loan Borrowing and Payment Option” has the meaning assigned to such term in the Loan Sweep Agreement. “Loan Documents” means, collectively, this Agreement, each promissory note issued pursuant to this Agreement, each Letter of Credit Agreement, each Collateral Document, each Compliance Certificate, the Loan Guaranty, each fee letter and each other agreement, instrument, document and certificate executed and delivered to, or in favor of, the Administrative Agent or any Lender and including each other pledge, power of attorney, consent, assignment, contract, notice, letter of credit agreement, letter of credit application and any agreements between the Borrower Representative and the Issuing Bank regarding the Issuing Bank’s Issuing Bank Sublimit or the respective rights and obligations between the applicable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commercial lending facility made available hereunder. Any reference in this Agreement or any other Loan Document to a Loan Document shall include all appendices, exhibits or schedules thereto, and all amendments, restatements, supplements or other modifications thereto, and shall refer to this Agreement or such other Loan Document as the same may be in effect at any and all times such reference becomes operative. “Loan Guarantor” means each Loan Party. “Loan Guaranty” means Article X of this Agreement. “Loan Parties” means, collectively, Holdings, the Borrowers, the Borrowers’ Subsidiaries and any other Person who becomes a party to this Agreement pursuant to a Joinder Agreement and their respective successors and assigns, and the term “Loan Party” shall mean any one of them or all of them individually, as the context may require. “Loan Sweep Account” means the deposit account identified in Schedule A of the Loan Sweep Agreement. 20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1"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Loan Sweep Agreement” means Chase’s Treasury Services End of Day Investment &amp; Loan Sweep Service Terms, as in effect on the date of this Agreement, as the same may be amended from time to time. “Loan Sweep Product” means the bank service provided to any Loan Party by Chase in its sole discretion consisting of direct access to automatically schedule payments and fund borrowings from the Loan Sweep Account by electronic, internet or other access mechanisms that may be agreed upon from time to time by Chase, pursuant to the “Loan Borrowing and Payment Option” of the Loan Sweep Agreement. “Loans” means the loans and advances made by the Lenders pursuant to this Agreement, including Swingline Loans. “Margin Stock” means margin stock within the meaning of Regulations T, U and X, as applicable. “Material Adverse Effect” means a material adverse effect on (a) the business, assets, operations or condition, financial or otherwise, of Holdings and its Subsidiaries taken as a whole, (b) the ability of any Loan Party to pay any of its Obligations, (c) the Collateral, or the Administrative Agent’s Liens (on behalf of itself and the other Secured Parties) on the Collateral or the priority of such Liens, or (d) the rights of or remedies available to the Administrative Agent, the Issuing Bank or the Lenders under any of the Loan Documents. “Material Indebtedness” means Indebtedness (other than the Loans and Letters of Credit), or obligations in respect of one or more related Swap Agreements, of any one or more of Holdings and its Subsidiaries with an aggregate principal amount exceeding $10,000,000 for any individual facility. For purposes of determining Material Indebtedness, the “principal amount” of the obligations of Holdings or any Subsidiary in respect of any Swap Agreement at any time shall be the maximum aggregate amount (giving effect to any netting agreements) that Holdings or such Subsidiary would be required to pay if such Swap Agreement were terminated at such time. “Maturity Date” means the Revolving Credit Maturity Date or the Term Maturity Date, as applicable. “Maximum Net Lease-Adjusted Total Leverage Ratio Increase” has the meaning set forth in Section 6.12(a). “Maximum Rate” has the meaning assigned to such term in Section 9.17. “Moody’s” means Moody’s Investors Service, Inc. “Multiemployer Plan” means a multiemployer plan as defined in Section 4001(a)(3) of ERISA. “Net Income” means, for any period, the consolidated net income (or loss) determined for Holdings and its Subsidiaries, on a consolidated basis in accordance with GAAP; provided that there shall be excluded (a) the income (or deficit) of any Person accrued prior to the date it becomes a Subsidiary or is merged into or consolidated with Holdings or any Subsidiary, (b) the income (or deficit) of any Person (other than a Subsidiary) in which Holdings or any Subsidiary has an ownership interest, except to the extent that any such income is actually received by Holdings or such Subsidiary in the form of dividends or similar distributions and (c) the undistributed earnings of any Subsidiary, to the extent that the declaration or payment of dividends or similar distributions by such Subsidiary is not at the time 21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2"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permitted by the terms of any contractual obligation (other than under any Loan Document) or Requirement of Law applicable to such Subsidiary. “Net Lease-Adjusted Total Leverage Ratio” means, on any date, the ratio of (a) the sum of, without duplication, (i) Funded Indebtedness on such date plus (ii) Rental Expense for the period of four consecutive fiscal quarters ended on or most recently prior to such date multiplied by eight (8) minus (iii) the aggregate amount of Unrestricted Cash as of such date in excess of $15,000,000 but less than $150,000,000 to (b) EBITDAR for the period of four consecutive fiscal quarters ended on or most recently prior to such date. “Net Proceeds”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 “Non-Consenting Lender” has the meaning assigned to such term in Section 9.02(d). “NYFRB” means the Federal Reserve Bank of New York. “NYFRB Rate”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0.00%, such rate shall be deemed to be 0.00% for purposes of this Agreement. “NYFRB’s Website” means the website of the NYFRB at http://www.newyorkfed.org, or any successor source. “Obligated Party” has the meaning assigned to such term in Section 10.02. “Obligations”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22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3"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“Off-Balance Sheet Liability”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 “Original Effective Date” means February 28, 2022. “Other Connection Taxes”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“Overnight Bank Funding Rate”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“Paid in Full” or “Payment in Full”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(iii) the indefeasible payment in full in cash of the accrued and unpaid fees,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Commitments, and (vi) the termination of the Swap Agreement 23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4"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Obligations and the Banking Services Obligations or entering into other arrangements satisfactory to the Secured Parties counterparties thereto. “Participant” has the meaning assigned to such term in Section 9.04(c). “Participant Register” has the meaning assigned to such term in Section 9.04(c). “Payment” has the meaning assigned to it in Section 8.06(c). “Payment Notice” has the meaning assigned to it in Section 8.06(c). “PBGC” means the Pension Benefit Guaranty Corporation referred to and defined in ERISA and any successor entity performing similar functions. “Permitted Acquisition” means any Acquisition (including any Franchise Acquisition) by any Loan Party in a transaction that satisfies each of the following requirements: (a) such Acquisition is not a hostile or contested acquisition; (b) 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related, or incidental thereto; (c) both before and after giving effect to such Acquisition and the Loans (if any) requested to be made in connection therewith, each of the representations and warranties in the Loan Documents is true and correct and no Default exists, will exist, or would result therefrom; (d) other than in the case of any Franchise Acquisition with total consideration (including the maximum potential total amount of all deferred payment obligations (including earn-outs) and Indebtedness assumed or incurred) of less than $15,000,000, as soon as available, but not less than thirty (30) days prior to such Acquisition, the Borrower Representative has provided the Administrative Agent (i) notice of such Acquisition, (ii) documentation relating to the Acquisition reasonably requested by the Administrative Agent, and (iii) a copy of all business and financial information reasonably requested by the Administrative Agent including pro forma financial statements;[reserved] (e) [reserved]; (f) if such Acquisition is an acquisition of the Equity Interests of a Person, such Acquisition is structured so that the acquired Person shall become a wholly-owned Subsidiary of Holdings and a Loan Party pursuant to the terms of this Agreement; (g) if such Acquisition is an acquisition of assets, such Acquisition is structured so that a Borrower or another Loan Party shall acquire such assets; (h) if such Acquisition is an acquisition of Equity Interests, such Acquisition will not result in any violation of Regulation U; (i) if such Acquisition involves a merger or a consolidation involving a Borrower or any other Loan Party, such Borrower or such Loan Party, as applicable, shall be the surviving 24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5"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entity; (j) no Loan Party shall, as a result of or in connection with any such Acquisition, assume or incur any direct or contingent liabilities (whether relating to environmental, tax, litigation, or other matters) that could have a Material Adverse Effect; (k) in connection with an Acquisition of the Equity Interests of any Person, all Liens on property of such Person shall be terminated unless permitted pursuant to Section 6.02 or the Administrative Agent and the Lenders in their sole discretion consent otherwise, and in connection with an Acquisition of the assets of any Person, all Liens on such assets shall be terminated unless permitted pursuant to Section 6.02 or the Administrative Agent and the Lenders in their sole discretion consent otherwise; (l) the Borrower Representative shall certify to the Administrative Agent and the Lenders (and provide the Administrative Agent and the Lenders with a pro forma calculation in form and substance reasonably satisfactory to the Administrative Agent and the Lenders) that, after giving effect to the completion of such Acquisition, on a pro forma basis and at all times immediately prior to the consummation of such Acquisition, the Loan Parties will be in compliance with the covenants contained in Section 6.12; provided that, for any Acquisition where the total consideration (including the maximum potential total amount of all deferred payment obligations (including earn-outs) and Indebtedness assumed or incurred) is greater than 10% of EBITDAR of the Loan Parties, the Borrower Representative shall deliver to the Administrative Agent a certificate certifying compliance with this clause (l) and attaching a pro forma calculation, in form and substance reasonably satisfactory to the Administrative Agent, evidencing compliance; (m) all actions required to be taken with respect to any newly acquired or formed wholly-owned Subsidiary of a Loan Party required under Section 5.14 shall have been taken; and (n) the Borrower Representative shall have delivered to the Administrative Agent the final executed documentation relating to such Acquisition within five (5) Business Days following the consummation thereof. “Permitted Encumbrances” means: (a) Liens imposed by law for Taxes that are not yet due or are being contested in compliance with Section 5.04; (b) carriers’, warehousemen’s, mechanics’, materialmen’s, repairmen’s, customs brokers’, landlords’ and other like Liens imposed by law, arising in the ordinary course of business and securing obligations that are not overdue by more than thirty (30) days, or remain payable without penalty, or are being contested in compliance with Section 5.04; (c) pledges and deposits made in the ordinary course of business in compliance with workers’ compensation, unemployment insurance and other social security laws or regulations; (d) deposits to secure the performance of bids, trade contracts, leases, statutory obligations, surety and appeal bonds, performance bonds and other obligations of a like nature, in each case in the ordinary course of business; 25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6"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judgment Liens in respect of judgments that do not constitute an Event of Default under Section 7.01(k); and (f)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Holdings or any Subsidiary; provided that the term “Permitted Encumbrances” shall not include any Lien securing Indebtedness, except with respect to clause (e) above. “Permitted Holders” means each of (a) Travis Boersma, (b) the spouse and lineal descendants (whether by blood or adoption) of Travis Boersma, (c) any trust or other estate planning vehicle for the primary benefit of any Person described in clauses (a) and (b), (d) the estate of any Person described in clauses (a) and (b), and (e) partnerships, limited liability companies or other entities which are controlled by any combination of the Persons described in clauses (a) and (b). “Permitted Investments” means: (a)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(b) investments in commercial paper maturing within 270 days from the date of acquisition thereof and having, at such date of acquisition, the highest credit rating obtainable from S&amp;P or from Moody’s; (c)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 (d) fully collateralized repurchase agreements with a term of not more than 30 days for securities described in clause (a) above and entered into with a financial institution satisfying the criteria described in clause (c) above; and (e) money market funds that (i) comply with the criteria set forth in Securities and Exchange Commission Rule 2a-7 under the Investment Company Act of 1940, (ii) are rated AAA by S&amp;P and Aaa by Moody’s and (iii) have portfolio assets of at least $5,000,000,000. “Permitted Supplier Financing” means a supplier financing program offered by any financial institution to the suppliers of the Loan Parties, whereby such financial institution pays any supplier of a Loan Party for such supplier’s fully earned invoices at a discount to be agreed, in exchange for shorter payment terms, with the applicable Loan Party liable to such financial institution for the full amount of such invoice on the terms agreed between such Loan Party and financial institution; provided, that: (a) the transaction with the applicable supplier is in the ordinary course of business for the Loan Parties; 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7"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such Loan Party’s liability is limited to the amount originally owed to the applicable supplier; and (c) no Event of Default exists at the time of, or would result from, such supplier financing program. “Permitted Tax Distributions” means, (a) so long as no Event of Default has occurred and is continuing or would result therefrom, Holdings may pay dividends or make distributions to its members (and the Borrowers and the Subsidiaries may pay dividends or make distributions to Holdings to make such dividends and distributions) in an aggregate amount equal to (i) the “Required Tax Distribution Amount” as such term is defined in Holdings’ Fifth Amended and Restated Limited Liability Company Agreement, dated as of February 7, 2025 and as in effect on the Effective Date for up to four consecutive Tax Estimation Periods at any time; provided that such payments shall not cover Tax Estimation Periods more than four such periods away from such payment date, and (ii) without duplication of amounts permitted by clause (i), the amount necessary for Public Parent to pay Public Parent Tax Obligations for up to four consecutive Tax Estimation Periods at any time, and (b) at any time an Event of Default has occurred and is continuing or would result therefrom, Holdings may pay dividends or make distributions to its members (and the Borrowers and the Subsidiaries may pay dividends or make distributions to Holdings to make such dividends and distributions) in an aggregate amount not greater than the amount necessary for Public Parent to pay Public Parent Tax Obligations. “Person” means any natural person, corporation, limited liability company, trust, joint venture, association, company, partnership, Governmental Authority or other entity. “Plan”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 “Plan Asset Regulations” means 29 CFR § 2510.3-101 et seq., as modified by Section 3(42) of ERISA, as amended from time to time. “Prepayment Event” means: (a) any Disposition (including pursuant to a sale and leaseback transaction) of any property or asset of any Loan Party or any Subsidiary (other than Dispositions described in Section 6.05(a), (b), (c), (d), (f), (g) and (h)) with a fair market value equal to or greater than $10,000,000; or (b) any casualty or other insured damage to, or any taking under power of eminent domain or by condemnation or similar proceeding of, any property or asset of any Loan Party or any Subsidiary with a fair market value immediately prior to such event equal to or greater than $10,000,000; or (c) [reserved]; or (d) the incurrence by any Loan Party or any Subsidiary of any Indebtedness, other than Indebtedness permitted under Section 6.01.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27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8"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“Proceeding” means any claim, litigation, investigation, action, suit, arbitration or administrative, judicial or regulatory action or proceeding in any jurisdiction. “Projections” has the meaning assigned to such term in Section 5.01(f). “PTE” means a prohibited transaction class exemption issued by the U.S. Department of Labor, as any such exemption may be amended from time to time. “Public Parent” means Dutch Bros Inc., a Delaware corporation. “Public Parent Tax Obligations” means, for any quarterly or annual period, without duplication, the sum of (i) the actual state and U.S. federal income tax liabilities of the Public Parent in respect of the “Income Amount” as defined in Holdings’ Fifth Amended and Restated Limited Liability Company Agreement, dated as of February 7, 2025 and as in effect on the Effective Date, and (ii) amounts owing by Public Parent for any quarterly or annual period under the Tax Receivable Agreements, which, for the avoidance of doubt, include any “Estimated Tax Benefit Payments” (as defined in the Tax Receivable Agreements) for such quarterly or annual period. “QFC” has the meaning assigned to the term “qualified financial contract” in, and shall be interpreted in accordance with, 12 U.S.C. 5390(c)(8)(D). “QFC Credit Support” has the meaning assigned to it in Section 9.21. “Qualified ECP Guarantor”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“Qualified Stock” of any Person means Equity Interests of such Person other than Disqualified Stock of such Person. “Real Property” means all real property that was, is now or may hereafter be owned, occupied or otherwise controlled by any Loan Party pursuant to any contract of sale, lease or other conveyance of any legal interest in any real property to any Loan Party. “Recipient” means, as applicable, (a) the Administrative Agent, (b) any Lender and (c) any Issuing Bank, or any combination thereof (as the context requires). “Reference Time” with respect to any setting of the then-current Benchmark means (1) if such Benchmark is the Term SOFR Rate, 5:00 a.m. (Chicago time) on the day that is two (2) U.S. Government Securities Business Days preceding the date of such setting, (2) following a Benchmark Transition Event and a Benchmark Replacement Date with respect to the Term SOFR Rate, such Benchmark is Daily Simple SOFR, then four (4) U.S. Government Securities Business Days prior to such setting, or (3) if 28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09"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such Benchmark is not the Term SOFR Rate or Daily Simple SOFR, the time determined by the Administrative Agent in its reasonable discretion. “Refinance Indebtedness” has the meaning assigned to such term in Section 6.01(f). “Register” has the meaning assigned to such term in Section 9.04(b). “Regulation D” means Regulation D of the Federal Reserve Board, as in effect from time to time and all official rulings and interpretations thereunder or thereof. “Regulation T” means Regulation T of the Federal Reserve Board, as in effect from time to time and all official rulings and interpretations thereunder or thereof. “Regulation U” means Regulation U of the Federal Reserve Board, as in effect from time to time and all official rulings and interpretations thereunder or thereof. “Regulation X” means Regulation X of the Federal Reserve Board, as in effect from time to time and all official rulings and interpretations thereunder or thereof. “Related Parties” means, with respect to any specified Person, such Person’s Affiliates and the respective directors, officers, partners, members, trustees, employees, agents, administrators, managers, representatives and advisors of such Person and such Person’s Affiliates. “Release” means any releasing, spilling, leaking, pumping, pouring, emitting, emptying, discharging, injecting, escaping, leaching, migrating, disposing, or dumping of any substance into the environment. “Relevant Governmental Body” means the Federal Reserve Board and/or the NYFRB or a committee officially endorsed or convened by the Federal Reserve Board and/or the NYFRB, or, in each case, any successor thereto. “Relevant Rate” means (i) with respect to any Term Benchmark Borrowing, the Term SOFR Rate or (ii) with respect to any RFR Borrowing, the Daily Simple SOFR, as applicable. “Rental Expense” means, with reference to any period, the aggregate fixed amounts payable by Holdings and its Subsidiaries under any operating leases for real property (but excluding lease termination expenses and lease exit costs, whether accounted for as restructuring costs, lease expense or otherwise), calculated for Holdings and its Subsidiaries on a consolidated basis for such period in accordance with GAAP, for the avoidance of doubt, excluding any payments with respect to Capital Lease Obligations; provided that Rental Expense shall not be reduced by any rental income. “Report”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“Required Lenders” means, subject to Section 2.20, (a) at any time prior to the earlier of the Loans becoming due and payable pursuant to Section 7.02 or the Commitments terminating or expiring, Lenders having Credit Exposure and Unfunded Commitments representing more than 50% of the sum of the Aggregate Credit Exposure and Unfunded Commitments at such time; provided that, solely for purposes of declaring the Loans to be due and payable pursuant to Section 7.02, the Unfunded 29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0"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Commitment of each Lender shall be deemed to be zero in determining the Required Lenders; and (b) for all purposes after the Loans become due and payable pursuant to Section 7.02 or the Commitments expire or terminate, Lenders having Credit Exposure representing more than 50% of the Aggregate Credit Exposure at such time; provided that, in the case of clauses (a) and (b) above, the Credit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Exposure excluding such excess amount; provided, further, that, (i) as long as there are only two unaffiliated Lenders, Required Lenders shall mean both Lenders and (ii) as long as there are three or more unaffiliated Lenders, at least two unaffiliated Lenders will be required to constitute Required Lenders. “Requirement of Law” means, with respect to any Person, (a) the charter, articles or certificate of organization or incorporation,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 “Resolution Authority” means an EEA Resolution Authority or, with respect to any UK Financial Institution, a UK Resolution Authority. “Responsible Officer” means the president, Financial Officer or other executive officer of a Borrower. “Restricted Payment” means any dividend or other distribution (whether in cash, securities or other property) with respect to any Equity Interest in Holdings, any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“Reuters” means, as applicable, Thomson Reuters Corp, Refinitiv, or any successor thereto. “Revolving Borrowing” means Revolving Loans of the same Type, made, converted or continued on the same date and, in the case of Term Benchmark Loans, as to which a single Interest Period is in effect. “Revolving Commitment”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provided that at no time shall the Revolving Exposure of any Lender exceed its Revolving Commitment. The initial aggregate amount of the Lenders’ Revolving Commitments is $500,000,000. 30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1"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Revolving Credit Maturity Date” means May 29, 2030 (if the same is a Business Day, or if not then the immediately next succeeding Business Day), or any earlier date on which the Revolving Commitments are reduced to zero or otherwise terminated pursuant to the terms hereof. “Revolving Exposure” means, with respect to any Lender, at any time, the sum of the aggregate outstanding principal amount of such Lender’s Revolving Loans and its LC Exposure and its Swingline Exposure at such time. “Revolving Lender” means, as of any date of determination, a Lender with a Revolving Commitment or, if the Revolving Commitments have terminated or expired, a Lender with Revolving Exposure. “Revolving Loan” means a Loan made pursuant to Section 2.01(a). “Revolving Loan Availability” means, at any time, an amount equal to (a) the aggregate Revolving Commitments minus (b) the Aggregate Revolving Exposure (calculated, with respect to any Defaulting Lender, as if such Defaulting Lender had funded its Applicable Percentage of all outstanding Borrowings). “RFR”, when used in reference to any Loan or Borrowing, refers to whether such Loan, or the Loans comprising such Borrowing, are bearing interest at a rate determined by reference to the Daily Simple SOFR. “S&amp;P” means Standard &amp; Poor’s Ratings Services, a Standard &amp; Poor’s Financial Services LLC business. “Sale and Leaseback Transaction” has the meaning assigned to such term in Section 6.06. “Sanctioned Country” means, at any time, a country, region or territory which is itself the subject or target of any Sanctions (at the time of this Agreement, the so-called Donetsk People’s Republic, the so-called Luhansk People’s Republic, the Crimea Region, Zaporizhzhia Region and Kherson Region of Ukraine, Cuba, Iran, North Korea and Syria). “Sanctioned Person” means, at any time, any Person subject or target of any Sanctions, including (a) any Person listed in any Sanctions-related list of designated Persons maintained by the U.S. government, including by the Office of Foreign Assets Control of the U.S. Department of the Treasury, the U.S. Department of State or the U.S. Department of Commerce,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 “Sanctions” means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 or other relevant sanctions authority. 31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2"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SEC” means the Securities and Exchange Commission of the U.S. “Secured Obligations” means all Obligations, together with all (i) Banking Services Obligations and (ii) Swap Agreement Obligations; provided, however, that the definition of “Secured Obligations” shall not create any guarantee by any Guarantor of (or grant of security interest by any Guarantor to support, as applicable) any Excluded Swap Obligations of such Guarantor for purposes of determining any obligations of any Guarantor. “Secured Parties”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 “Security Agreement” means that certain Second Amended and Restated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 “SOFR” means a rate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Determination Date” has the meaning specified in the definition of “Daily Simple SOFR”. “SOFR Rate Day” has the meaning specified in the definition of “Daily Simple SOFR”. “Standby LC Exposure” means, at any time, the sum of (a) the aggregate undrawn amount of all standby Letters of Credit outstanding at such time plus (b) the aggregate amount of all LC Disbursements relating to standby Letters of Credit that have not yet been reimbursed by or on behalf of the Borrowers at such time. The Standby LC Exposure of any Revolving Lender at any time shall be its Applicable Percentage of the aggregate Standby LC Exposure at such time. “Statements” has the meaning assigned to such term in Section 2.18(f). “Store” means a company-owned retail location operated by any Loan Party. “Subordinated Indebtedness” of a Person means any Indebtedness of such Person, the payment of which is subordinated to payment of the Secured Obligations to the written satisfaction of the Administrative Agent. 32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3"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“Subsidiary” means any direct or indirect subsidiary of Holdings, a Borrower or a Loan Party, as applicable. “Supported QFC” has the meaning assigned to it in Section 9.21. “Swap Agreement”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Borrowers or their Subsidiaries shall be a Swap Agreement. “Swap Agreement Obligations” 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the Administrative Agent, a Lender or any of their respective Affiliates (or a Person who was the Administrative Agent, a Lender or one of their respective Affiliates at the time such Swap Agreement was entered into), and (b) any cancellations, buy backs, reversals, terminations or assignments of any Swap Agreement transaction permitted hereunder with the Administrative Agent, a Lender or any of their respective Affiliates (or a Person who was the Administrative Agent, a Lender or one of their respective Affiliates at the time such transaction was entered into). “Swap Obligation” means, with respect to any Guarantor, any obligation to pay or perform under any agreement, contract or transaction that constitutes a “swap” within the meaning of section 1a(47) of the Commodity Exchange Act or any rules or regulations promulgated thereunder. “Swingline Borrowing” means a borrowing of a Swingline Loan. “Swingline Commitment” means the amount set forth opposite Chase’s name on the Commitment Schedule as “Swingline Commitment”. “Swingline Exposure” means, at any time, the aggregate principal amount of all Swingline Loans outstanding at such time. The Swingline Exposure of any Revolving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Revolving Lender that is the Swingline Lender, the aggregate principal amount of all Swingline Loans made by such 33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4"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Revolving Lender outstanding at such time, less the amount of participations funded by the other Lenders in such Swingline Loans. “Swingline Lender” means Chase (or any of its designated branch offices or affiliates), in its capacity as lender of Swingline Loans hereunder. Any consent required of the Administrative Agent or the Issuing Bank shall be deemed to be required of the Swingline Lender and any consent given by Chase in its capacity as Administrative Agent or Issuing Bank shall be deemed given by Chase in its capacity as Swingline Lender as well. “Swingline Loan” means a Loan made pursuant to Section 2.05. “Target Balance” has the meaning assigned to such term in the Loan Sweep Agreement. “Tax Estimation Period” has the meaning assigned to such term in Holdings’ Fifth Amended and Restated Limited Liability Company Agreement, dated as of February 7, 2025 and as in effect on the Effective Date. “Taxes”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“Tax Receivable Agreements” means the Reorganization Tax Receivable Agreement among Public Parent, Holdings, TSG7 A AIV VI Holdings L.P., and DG Coinvestor Blocker Aggregator, L.P., and the Exchange Tax Receivable Agreement among Public Parent, Holdings, Dutch Holdings, LLC, TSG7 A AIV VI, L.P., DMI Holdco, LLC, DM Individual Aggregator, LLC, and DM Trust Aggregator, LLC, each dated September 14, 2021, and as in effect on the Effective Date. “Term Benchmark” when used in reference to any Loan or Borrowing, refers to whether such Loan, or the Loans comprising such Borrowing, are bearing interest at a rate determined by reference to the Term SOFR Rate. “Term Commitment” means, with respect to each Lender, the commitment, if any, of such Lender to make a Term Loan, expressed as an amount representing the maximum principal amount of the Term Loan to be made by such Lender, as such commitment may be reduced or increased from time to time pursuant to (a) Section 2.09 and (b) assignments by or to such Lender pursuant to Section 9.04. The initial amount of each Lender’s Term Commitment is set forth on the Commitment Schedule or in the Assignment and Assumption pursuant to which such Lender shall have assumed its Term Commitment, as applicable. The aggregate amount of the Lenders’ Term Commitment on the Effective Date is $150,000,000. “Term Lender” means a Lender having a Term Commitment or an outstanding Term Loan. “Term Loan” means a Loan made pursuant to Section 2.01(b) or 2.09(e). “Term Maturity Date” means May 29, 2030 (if the same is a Business Day, or if not then the immediately next succeeding Business Day). “Term SOFR Determination Day” has the meaning assigned to it under the definition of Term SOFR Reference Rate. 34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5"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rPr>
      </w:pPr>
      <w:r>
        <w:rPr>
          <w:color w:val="FFFFFF"/>
        </w:rPr>
        <w:t>“</w:t>
      </w:r>
      <w:r>
        <w:rPr>
          <w:color w:val="FFFFFF"/>
          <w:sz w:val="2"/>
        </w:rPr>
        <w:t xml:space="preserve">Term SOFR Rate”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“Term SOFR Reference Rate” means, for any day and time (such day, the “Term SOFR Determination Day”), and for any tenor comparable to the applicable Interest Period, the rate per annum published by the CME Term SOFR Administrator and identified by the Administrative Agent as the forward-looking term rate based on SOFR; provided that if the Term SOFR Reference Rate as so determined would be less than the Floor, such rate shall be deemed to be equal to the Floor for the purposes of this Agreement.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“Transactions” means the execution, delivery and performance by the Loan Parties of this Agreement and the other Loan Documents, the borrowing of Loans and other credit extensions, the use of the proceeds thereof and the issuance of Letters of Credit hereunder. “Type”, when used in reference to any Loan or Borrowing, refers to whether the rate of interest on such Loan, or on the Loans comprising such Borrowing, is determined by reference to the Term SOFR Rate, Daily Simple SOFR or the Alternate Base Rate. “UCC” means the Uniform Commercial Code as in effect from time to time in the State of New York or in any other state, the laws of which are required to be applied in connection with the issue of perfection of security interests. “UK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“Unfunded Commitment” means, with respect to each Lender, the Revolving Commitment of such Lender less its Revolving Exposure of such Lender. “Unliquidated Obligations” means, at any time, any Secured Obligations (or portion thereof) that are contingent in nature or unliquidated at such time, including any Secured Obligation that is: (i) an 35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6"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obligation to reimburse a bank for drawings not yet made under a letter of credit issued by it; (ii) any other obligation (including any guarantee) that is contingent in nature at such time; or (iii) an obligation to provide collateral to secure any of the foregoing types of obligations. “Unrestricted Cash” means cash of Holdings and its Subsidiaries that would not appear as “restricted” on the financial statements of Holdings and its Subsidiaries (unless related to a restriction in favor of the Administrative Agent for the benefit of the Secured Parties). “U.S.” means the United States of America.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means (i) for purposes of Sections 3.25 and 6.13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 “U.S. Special Resolution Regime” has the meaning assigned to it in Section 9.21. “U.S. Tax Compliance Certificate” has the meaning assigned to such term in Section 2.17(f)(ii)(B)(3). “USA PATRIOT Act” means the Uniting and Strengthening America by Providing Appropriate Tools Required to Intercept and Obstruct Terrorism Act of 2001. “Withdrawal Liability” means liability to a Multiemployer Plan as a result of a complete or partial withdrawal from such Multiemployer Plan, as such terms are defined in Part I of Subtitle E of Title IV of ERISA.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Classification of Loans and Borrowings. 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 36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17"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 SECTION 1.04 Accounting Terms; GAAP. (a) Except as otherwise expressly provided herein, all terms of an accounting or financial nature shall be construed in accordance with GAAP, as in effect from time to time; provided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Holdings or any Subsidiary at “fair value”, as defined therein and (ii) without giving effect to any treatment of Indebtedness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37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8"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or treated as a capital lease, all calculations and deliverables under this Agreement or any other Loan Document shall be made or delivered , as applicable, in accordance therewith. For the avoidance of doubt, such lease shall not be treated as Indebtedness (and the payments with respect thereto shall not be treated as payments of principal and interest with respect to Indebtedness, but shall be treated as rent expense) for any purpose hereunder, including the financial covenants, unless such lease would have been treated as Indebtedness under GAAP as in effect on December 31, 2015, and such lease and the payments thereunder shall be accounted for as they would have been under GAAP as in effect on December 31, 2015. SECTION 1.05 Interest Rates; Benchmark Notifications. The interest rate on a Loan denominated in dollars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replacement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1.06 Pro Forma Adjustments for Acquisitions and Dispositions. To the extent a Borrower or any Subsidiary makes any Acquisition permitted pursuant to Section 6.04 or Disposition outside the ordinary course of business permitted by Section 6.05 during the period of four fiscal quarters of Holdings most recently ended, the Net Lease-Adjusted Total Leverage Ratio for such period shall be calculated after giving pro forma effect thereto (including pro forma adjustments that are reasonably expected by the Borrowers to be realized or result from actions that have been taken in connection with or arising out of events which are directly attributable to the Acquisition or the Disposition, are factually supportable (in the good faith determination of the Borrowers) and are expected to have a continuing impact, in each case as determined on a basis consistent with Article 11 of Regulation S-X of the Securities Act of 1933, as amended, as interpreted by the SEC, and as certified by a Financial Officer of such Borrower), as if such Acquisition or such Disposition (and any related incurrence, repayment or assumption of Indebtedness) had occurred in the first day of such four-quarter period. 38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19"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1.07 Status of Obligations.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Administrative Agent and the Lenders may have and exercise any payment blockage or other remedies available or potentially available to holders of senior indebtedness under the terms of such Subordinated Indebtedness. SECTION 1.08 Letters of Credit. Unless otherwise specified herein, the amount of a Letter of Credit at any time shall be deemed to be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 or the Letter of Credit itself, or if compliant documents have been presented but not yet honored, such Letter of Credit shall be deemed to be “outstanding” and “undrawn” in the amount so remaining available to be paid, and the obligations of the applicable Borrower and each Lender shall remain in full force and effect until the Issuing Banks and the Lenders shall have no further obligations to make any payments or disbursements under any circumstances with respect to any Letter of Credit. SECTION 1.09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SECTION 1.10 Rounding. Any financial ratios required to be maintained by any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39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0"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ARTICLE II THE CREDITS SECTION 2.01 Commitments. (a) Subject to the terms and conditions set forth herein, each Revolving Lender severally (and not jointly) agrees to make Revolving Loans in dollars to the Borrowers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aggregate Revolving Commitments. Within the foregoing limits and subject to the terms and conditions set forth herein, the Borrowers may borrow, prepay and reborrow Revolving Loans. (b) Subject to the terms and conditions set forth herein, each Term Lender severally (and not jointly) agrees to make a Term Loan in dollars to the Borrowers, on the Effective Date, in a principal amount not to exceed such Lender’s Term Commitment. Amounts prepaid or repaid in respect of Term Loans may not be reborrowed. SECTION 2.02 Loans and Borrowings.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2.05. (b) Subject to Section 2.14, each Revolving Borrowing and Term Loan Borrowing shall be comprised entirely of ABR Loans or Term Benchmark Loans as the Borrower Representative may request in accordance herewith.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provided that any exercise of such option shall not affect the obligation of the Borrowers to repay such Loan in accordance with the terms of this Agreement. (c) At the commencement of each Interest Period for any Term Benchmark Borrowing, such Borrowing shall be in an aggregate amount that is an integral multiple of $100,000 and not less than $500,000. At the time that each ABR Borrowing is made, such Borrowing shall be in an aggregate amount that is an integral multiple of $50,000 and not less than $100,000; provided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$50,000 and not less than $100,000. Borrowings of more than one Type and Class may be outstanding at the same time; provided that there shall not at any time be more than a total of five (5) Term Benchmark Borrowings and RFR Borrowings outstanding. (d) Notwithstanding any other provision of this Agreement, the Borrowers shall not be entitled to request, or to elect to convert or continue, any Borrowing if the Interest Period requested with 40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1"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respect thereto would end after the Revolving Credit Maturity Date or the Term Maturity Date, as applicable. SECTION 2.03 Requests for Borrowings. To request a Borrowing, the Borrower Representative shall notify the Administrative Agent of such request either in writing (delivered by fax or email) by submitting a Borrowing Request signed by a Responsible Officer of the Borrower Representative or to the Administrative Agent through Electronic System or the Approved Borrower Portal, in each case to the extent arrangements for doing so have been approved by the Administrative Agent, (a) in the case of a Term Benchmark Borrowing, not later than 10:00 a.m., Pacific time, three (3) U.S. Government Securities Business Days before the date of the proposed Borrowing or (b) in the case of an ABR Borrowing, not later than 11:00 a.m., Pacific time, on the date of the proposed Borrowing; provided that any such notice of an ABR Revolving Borrowing to finance the reimbursement of an LC Disbursement as contemplated by Section 2.06(e) may be given not later than 9:00 a.m., Pacific time, on the date of the proposed Borrowing. Each such Borrowing Request shall be irrevocable and shall be signed by a Responsible Officer of the Borrower Representative; provided that, if such Borrowing Request is submitted through the Approved Borrower Portal, the foregoing signature requirement may be waived at the sole discretion of the Administrative Agent. Each such Borrowing Request shall specify the following information in compliance with Section 2.02: (i) the Class of Borrowing, the aggregate amount of the requested Borrowing, and a breakdown of the separate wires comprising such Borrowing; (ii) name of the applicable Borrower(s); (iii) the date of such Borrowing, which shall be a Business Day; (iv) whether such Borrowing is to be an ABR Borrowing or a Term Benchmark Borrowing; and (v) in the case of a Term Benchmark Borrowing, the initial Interest Period to be applicable thereto, which shall be a period contemplated by the definition of the term “Interest Period.” If no election as to the Type of Borrowing is specified, then the requested Borrowing shall be an ABR Borrowing. If no Interest Period is specified with respect to any requested Term Benchmark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prior to a Benchmark Transition Event and Benchmark Replacement Date with respect to the Term SOFR Rate, in no event shall the Borrowers be permitted to request an RFR Loan pursuant to this Section 2.03 (it being understood and agreed that Daily Simple SOFR shall only apply to the extent provided in Sections 2.14(a) and 2.14(f)). SECTION 2.04 [Reserved]. SECTION 2.05 Swingline Loans. (a) Subject to the terms and conditions set forth herein, from time to time during the Availability Period, the Swingline Lender may agree, but shall have no obligation to make Swingline 41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2"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Loans to the Borrowers, in an aggregate principal amount at any time outstanding that will not result in (i) the aggregate principal amount of outstanding Swingline Loans exceeding the Swingline Lender’s Swingline Commitment, (ii) the Swingline Lender’s Revolving Exposure exceeding its Revolving Commitment, or (iii) the Aggregate Revolving Exposures exceeding the aggregate Revolving Commitments; provided that the Swingline Lender shall not be required to make a Swingline Loan to refinance an outstanding Swingline Loan. Within the foregoing limits and subject to the terms and conditions set forth herein, the Borrowers may borrow, prepay and reborrow Swingline Loans. To request a Swingline Loan, the Borrower Representative shall notify the Administrative Agent of such request through Electronic System or the Approved Borrower Portal, in each case to the extent arrangements for doing so have been approved by the Administrative Agent, not later than noon, Pacific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Representative. The Swingline Lender shall make each Swingline Loan available to the Borrowers,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2:00 p.m., Pacific time, on the requested date of such Swingline Loan. All Swingline Loans shall be ABR Borrowings. In addition, at any time that the Loan Sweep Product is in effect, the Borrowers hereby authorize the Swingline Lender to, and the Swingline Lender may, subject to the terms and conditions set forth herein (but without any further written notice required), to the extent that from time to time on any Business Day funds are required under the Loan Sweep Product to reach the Target Balance (a “Deficiency Funding Date”), make available to the Borrowers the proceeds of a Swingline Loan in the amount of such deficiency up to the Target Balance, by means of a credit to the Loan Sweep Account on or before the start of business on the next succeeding Business Day, and such Swingline Loan shall be deemed made on such Deficiency Funding Date. (b) 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11:00 a.m., Pacific time, on a Business Day no later than 4:00 p.m., Pacific time on such Business Day and if received after 11:00 a.m., Pacific time, “on a Business Day” shall mean no later than 9:00 a.m., Pacific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Revolving Loans made by such Lender (and Section 2.07 shall apply, mutatis mutandis, to the payment obligations of the Lenders), and the Administrative Agent shall promptly pay to the Swingline Lender the amounts so received by it from the Revolving Lenders. The Administrative Agent shall notify the Borrower Representative of any participations in any Swingline Loan acquired pursuant to this paragraph, and thereafter payments in 42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3"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Borrowers for any reason. The purchase of participations in a Swingline Loan pursuant to this paragraph shall not relieve the Borrowers of any default in the payment thereof. SECTION 2.06 Letters of Credit. (a) General. Subject to the terms and conditions set forth herein, the Borrower Representative, on behalf of a Borrower, may request any Issuing Bank to issue Letters of Credit denominated in dollars as the applicant thereof for the support of the obligations of any Borrower or any Subsidiary thereof, in a form reasonably acceptable to such Issuing Bank, at any time and from time to time during the Availability Period, and such Issuing Bank may, but shall have no obligation, to issue such requested Letters of Credit pursuant to this Agreement. (b) Notice of Issuance, Amendment, Extension; Certain Conditions. To request the issuance of a Letter of Credit (or the amendment or extension of an outstanding Letter of Credit), the Borrower Representative shall hand deliver or fax (or transmit through Electronic System or the Approved Borrower Portal, in each case to the extent arrangements for doing so have been approved by the respective Issuing Bank) to an Issuing Bank selected by it and to the Administrative Agent (reasonably in advance of the requested date of issuance, amendment or extension, but in any event no less than three (3)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“Letter of Credit Agreement”).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Borrowers shall be deemed to represent and warrant that), after giving effect to such issuance, amendment or extension (i) the aggregate LC Exposure shall not exceed $100,000,000, (ii) no Revolving Lender’s Revolving Exposure shall exceed its Revolving Commitment and (iii)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43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4"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and shall not affect the Issuing Bank Sublimit of any other Issuing Bank, subject to the limitations on the aggregate LC Exposure set forth in clause (i) of this Section 2.06(b). An Issuing Bank shall not be under any obligation to issue, amend or extend any Letter of Credit if: (I)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Requirement of Law relating to such Issuing Bank or any request or directive (whether or not having the force of law) from any Governmental Authority with jurisdiction over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 (II) the issuance, amendment or extension of such Letter of Credit would violate one or more policies of such Issuing Bank applicable to letters of credit generally. (c) Expiration Date.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date thereof, including, without limitation, any automatic renewal provision, one year after each extension) and (ii) the date that is five Business Days prior to the Revolving Credit Maturity Date. (d) Participations. By the issuance of a Letter of Credit (or an amendment to a Letter of Credit increasing the amount or extending the term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 (e) Reimbursement. If an Issuing Bank shall make any LC Disbursement in respect of a Letter of Credit, the Borrowers shall reimburse such LC Disbursement by paying to the Administrative Agent an amount equal to such LC Disbursement not later than 11:00 a.m., Pacific time, on (i) the Business Day that the Borrower Representative receives notice of such LC Disbursement, if such notice 44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5"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is received prior to 9:00 a.m., Pacific time, on the day of receipt, or (ii) the Business Day immediately following the day that the Borrower Representative receives such notice, if such notice is received after 9:00 a.m., Pacific time, on the day of receipt; provided that the Borrowers may, subject to the conditions to borrowing set forth herein, request in accordance with Section 2.03 or 2.05 that such payment be financed with an ABR Revolving Borrowing or Swingline Loan in an equivalent amount and, to the extent so financed, the Borrowers’ obligation to make such payment shall be discharged and replaced by the resulting ABR Revolving Borrowing or Swingline Loan, as applicable.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mutatis mutandis, to the payment obligations of the Revolving Lenders), and the Administrative Agent shall promptly pay to the respective Issuing Bank the amounts so received by it from the Revolving Lenders. Promptly following receipt by the Administrative Agent of any payment from the Borrowers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Borrowers of their obligation to reimburse such LC Disbursement. (f) Obligations Absolute. The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provided that the foregoing shall not be construed to excuse an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45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6"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(g) Disbursement Procedures.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Representative by telephone (confirmed by fax or through Electronic System) of such demand for payment if such Issuing Bank has made or will make an LC Disbursement thereunder; provided that such notice need not be given prior to payment by the Issuing Bank and any failure to give or delay in giving such notice shall not relieve the Borrowers of their obligation to reimburse such Issuing Bank and the Revolving Lenders with respect to any such LC Disbursement. (h) Interim Interest. If the Issuing Bank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due and payable on the date when such reimbursement is due; provided that, if the Borrowers fail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 (i) Replacement and Resignation of an Issuing Bank. (i) An Issuing Bank may be replaced at any time by written agreement among the Borrower Representative, the Administrative Agent, the replaced Issuing Bank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it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 (ii) Subject to the appointment and acceptance of a successor Issuing Bank, any Issuing Bank may resign as an Issuing Bank at any time upon thirty days’ prior written notice to the Administrative Agent, the Borrower Representative and the Lenders, in which case, such resigning Issuing Bank shall be replaced in accordance with Section 2.06(i)(i) above. 46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27"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(j) Cash Collateralization.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or accounts with the Administrative Agent, in the name of the Administrative Agent and for the benefit of the Revolving Lenders (the “LC Collateral Account”), an amount in cash equal to 105% of the amount of the LC Exposure as of such date plus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7.01(h) or (i). The Borrowers also shall deposit cash collateral in accordance with this paragraph as and to the extent required by Sections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 the LC Collateral Account an amount in cash equal to 105% of such LC Exposure as of such date plus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 (k) 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 47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28"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 Letters of Credit Issued for Account of Subsidiaries.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Borrowers (i) shall reimburse, indemnify and compensate the applicable Issuing Bank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such Borrower, and that such Borrower’s business derives substantial benefits from the businesses of such Subsidiaries. SECTION 2.07 Funding of Borrowings. (a) Each Lender shall make each Loan to be made by such Lender hereunder on the proposed date thereof solely by wire transfer of immediately available funds by 2:00 p.m., Pacific time, to the account of the Administrative Agent most recently designated by it for such purpose by notice to the Lenders in an amount equal to such Lender’s Applicable Percentage; provided that Term Loans shall be made as provided in Section 2.01(b) and Swingline Loans shall be made as provided in Section 2.05. The Administrative Agent will make such Loans available to the Borrower Representative by promptly crediting the funds so received in the aforesaid account of the Administrative Agent to the Funding Account(s); provided that ABR Revolving Loans made to finance the reimbursement of an LC Disbursement as provided in Section 2.06(e) shall be remitted by the Administrative Agent to the respective Issuing Bank. (b)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NYFRB Rate and a rate determined by the Administrative Agent in accordance with banking industry rules on interbank compensation and (ii) in the case of the Borrowers, the interest rate applicable to ABR Revolving Loans. If such Lender pays such amount to the Administrative Agent, then such amount shall constitute such Lender’s Loan included in such Borrowing; provided that any interest received from the Borrowers by the Administrative Agent during the period beginning when the Administrative Agent funded the Borrowing until such Lender pays such amount shall be solely for the account of the Administrative Agent. SECTION 2.08 Interest Elections. (a) Each Borrowing initially shall be of the Type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48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29"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 (b) To make an election pursuant to this Section, the Borrower Representative shall notify the Administrative Agent of such election by submitting an Interest Election Request to the Administrative Agent either in writing (delivered by fax or email) or through Electronic System or the Approved Borrower Portal, in each case to the extent arrangements for doing so have been approved by the Administrative Agent, by the time that a Borrowing Request would be required under Section 2.03 if the Borrowers were requesting a Borrowing of the Type resulting from such election to be made on the effective date of such election. Each such Interest Election Request shall be irrevocable and shall be signed by a Responsible Office of the Borrower Representative; provided that, if such Interest Election Request is submitted through the Approved Borrower Portal, the foregoing signature requirement may be waived at the sole discretion of the Administrative Agent. (c) Each Interest Election Request shall specify the following information in compliance with Section 2.02: (i)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(ii) the effective date of the election made pursuant to such Interest Election Request, which shall be a Business Day; (iii) whether the resulting Borrowing is to be an ABR Borrowing or a Term Benchmark Borrowing; and (iv) if the resulting Borrowing is a Term Benchmark Borrowing, the Interest Period to be applicable thereto after giving effect to such election, which shall be a period contemplated by the definition of the term “Interest Period”. If any such Interest Election Request requests a Term Benchmark Borrowing but does not specify an Interest Period, then the Borrowers shall be deemed to have selected an Interest Period of one month’s duration. Notwithstanding the foregoing, in no event shall the Borrowers be permitted to (i) elect an Interest Period for Term Benchmark Loans that does not comply with Section 2.02(d), or (ii) request pursuant to this Section 2.08(c), prior to a Benchmark Transition Event and Benchmark Replacement Date with respect to the Term SOFR Rate, an RFR Loan bearing interest based on Daily Simple SOFR (it being understood and agreed that Daily Simple SOFR shall only apply to the extent provided in Sections 2.14(a) and 2.14(f)). (d) Promptly following receipt of an Interest Election Request, the Administrative Agent shall advise each Lender of the applicable Class of the details thereof and of such Lender’s portion of each resulting Borrowing. 49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0"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or a RFR Borrowing and (ii) unless repaid, (A) each Term Benchmark Borrowing shall be converted to an ABR Borrowing at the end of the Interest Period applicable thereto and (B) each RFR Borrowing shall be converted to an ABR Borrowing immediately. SECTION 2.09 Termination and Reduction of Commitments; Increase in Revolving Commitments. (a) Unless previously terminated, (i) all of the Term Commitments shall terminate at 5:00 p.m., Pacific Time, on the Effective Date and (ii) all of the Revolving Commitments shall terminate on the Revolving Credit Maturity Date. (b) The Borrowers may at any time terminate the Revolving Commitments upon the Payment in Full of the Secured Obligations. (c) The Borrowers may from time to time reduce the Revolving Commitments; provided that (i) each reduction of the Revolving Commitments shall be in an amount that is an integral multiple of $1,000,000 and not less than $5,000,000 and (ii) the Borrowers shall not terminate or reduce the Revolving Commitments if, after giving effect to any concurrent prepayment of the Revolving Loans in accordance with Section 2.11, (A) any Lender’s Revolving Exposure would exceed such Lender’s Revolving Commitment or (B) the Aggregate Revolving Exposure would exceed the aggregate Revolving Commitments. (d) [Reserved]. (e) The Borrower Representative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Representative pursuant to this Section shall be irrevocable; provided that a notice of termination of the Revolving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 (f) The Borrowers shall have the right to increase the Commitments by obtaining additional Revolving Commitments (each such increase, an “Incremental Revolving Facility”) or adding a Term Commitment under this Agreement (each such increase, an “Incremental Term Loan Facility”, and each Incremental Revolving Facility and Incremental Term Loan Facility, individually and collectively, an “Incremental Facility”), either from one or more of the Lenders or another lending institution, provided that (i) any such request for an Incremental Facility shall be in a minimum amount of $10,000,000, (ii) the Borrower Representative, on behalf of the Borrowers, may make a maximum of three (3) such 50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1"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requests, (iii) after giving effect thereto, the sum of the total of the additional Commitments under all such Incremental Facilities does not exceed the greater of (x) $230,000,000 and (y) eighty percent (80%) of EBITDAR as of the end of the most recently ended fiscal quarter for which a Compliance Certificate has been (or was required to be) delivered to the Administrative Agent pursuant to Section 5.01(d) (as EBITDAR is set forth in such Compliance Certificate), (iv) the Borrowers, the Administrative Agent and, other than in the case of an Incremental Term Loan Facility, the Swingline Lender and the Issuing Bank shall have approved the identity of any such new Lender, such approvals not to be unreasonably withheld, (v) any such new Lender shall assume all of the rights and obligations of a “Lender” hereunder, (vi) the procedures described in Section 2.09(g) and (h) below have been satisfied, (vii) in the case of an Incremental Term Loan Facility, (A) such Incremental Term Loan Facility shall be documented pursuant to this Agreement, (B) such Incremental Term Loan Facility shall be subject to such repayment and amortization as may be agreed among the Borrowers, the Lenders providing such Incremental Term Loan Facility and the Administrative Agent, each in its sole discretion, provided that (x) the final maturity date of each Incremental Term Loan Facility shall be no earlier than the Term Maturity Date, (y) such Incremental Term Loan Facility shall have an average weighted maturity not shorter than the remaining average weighted maturity of then-existing Term Loans, and (z) such Incremental Term Loan Facility shall participate on a pro rata basis in any voluntary or mandatory prepayments of then-existing Term Loans hereunder, and (C) this Agreement and the other Loan Documents will be amended to effectuate such terms solely with the consent of the Borrowers, the Lenders providing such Incremental Term Loan Facility and the Administrative Agent, in each case, in its sole discretion, (viii) in the case of an Incremental Revolving Facility, (A) the new Revolving Loans will be made on the same terms as the existing Revolving Loans and (B) the final maturity date of each Incremental Revolving Facility shall be the Revolving Credit Maturity Date, (ix) any Loan made pursuant to an Incremental Facility shall be subject to covenants identical to those governing the existing Loans, (x) each Loan made pursuant to an Incremental Facility will rank pari passu in right of payment and pari passu with respect to security with the existing Secured Obligations and shall not benefit from any collateral or Guarantees other than those benefiting the existing Secured Obligations and (xi) the effective yield on such Incremental Facility, taking into account the applicable interest rate margins (based on the then current margin), any interest rate floors or similar devices and all fees, including upfront or similar fees or original issue discount (amortized over the shorter of (x) the original stated life of such Loans and (y) the four years following the date of incurrence thereof) payable generally to all Lenders making such Loans, but excluding arrangement fees, structuring fees, commitment fees, underwriting fees or other fees not generally payable to all Lenders, shall not be more than 50 basis points greater than the effective yield on the then-existing Loans of the same Class unless the interest rate margin with respect to such then-existing Loans is increased by an amount equal to the difference between the effective yield on such Incremental Facility less 50 basis points minus the effective yield for such then-existing Loans. Nothing contained in this Section 2.09 shall constitute, or otherwise be deemed to be, a commitment on the part of any Lender to increase its Commitment hereunder at any time. (g) Any amendment hereto for such an Incremental Facility shall be in form and substance satisfactory to the Administrative Agent and shall only require the written signatures of the Administrative Agent, the Borrowers and each Lender providing such Incremental Facility, subject only to the approval of all Lenders if any such Incremental Facility would cause the increase in the aggregate Commitments to exceed the amount permitted by clause (f) above. As a condition precedent to each Incremental Facility, the Borrowers shall deliver to the Administrative Agent (i) a certificate of each Loan Party signed by an authorized officer of such Loan Party (A) certifying and attaching the resolutions adopted by such Loan Party approving or consenting to such Incremental Facility, and (B) in the case of the Borrowers, certifying that, before and after giving effect to such Incremental Facility (and assuming any Incremental Revolving Facility is fully drawn), (1) the representations and warranties contained in Article III and the other Loan Documents are true and correct, except to the extent that such representations and warranties specifically refer to an earlier date, in which case they are true and correct 51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2"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52 September 30, 2025 $937,500 Date December 31, 2025 Amount $937,500 as of such earlier date, (2) no Default or Event of Default exists and (3) the Borrowers are in compliance (on a pro forma basis) with the covenants contained in Section 6.12 and (ii) legal opinions and documents consistent with those delivered on the Effective Date, to the extent requested by the Administrative Agent. (h) On the effective date of any Incremental Revolving Facility,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Incremental Revolving Facility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Within a reasonable time after the effective date of any Incremental Facility, the Administrative Agent shall, and is hereby authorized and directed to, revise the Commitment Schedule to reflect such Incremental Facility and shall distribute such revised Commitment Schedule to each of the Lenders and the Borrower Representative, whereupon such revised Commitment Schedule shall replace the old Commitment Schedule and become part of this Agreement. SECTION 2.10 Repayment and Amortization of Loans; Evidence of Debt. (a) The Borrowers hereby unconditionally promise to pay (i) to the Administrative Agent for the account of each Revolving Lender the then unpaid principal amount of each Revolving Loan on the Revolving Credit Maturity Date, and (ii) to the Swingline Lender the then unpaid principal amount of each Swingline Loan on the earlier of the Revolving Credit Maturity Date and the fifth (5th) Business Day after such Swingline Loan is made; provided that on each date that a Revolving Loan is made, the Borrowers shall repay all Swingline Loans then outstanding and the proceeds of any such Revolving Loan shall be applied by the Administrative Agent to repay any Swingline Loans outstanding. In addition, at any time that the Loan Sweep Product is in effect, on each Business Day, the Borrowers authorize the Administrative Agent to apply funds on deposit in the Loan Sweep Account to the extent set forth in Section 14(b)(ii) of the Loan Sweep Agreement to the outstanding principal balance of the Swingline Loans. Such amounts shall be deemed received by the Swingline Lender in accordance with Section 2.18. (b) The Borrowers hereby unconditionally promise to pay to the Administrative Agent for the account of each Term Lender on each date set forth below the aggregate principal amount set forth opposite such date (as adjusted from time to time pursuant to Section 2.11(d) or 2.18(b)):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3"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53 $937,500 June 30, 2028 March 31, 2027 $1,875,000 $937,500 September 30, 2028 $1,875,000 $937,500 December 31, 2028 June 30, 2027 $1,875,000 September 30, 2026 $937,500 March 31, 2029 $1,875,000 $937,500 June 30, 2029 September 30, 2027 $1,875,000 $1,875,000 September 30, 2029 $3,750,000 December 31, 2029 December 31, 2027 $3,750,000 December 31, 2026 $1,875,000 March 31, 2030 June 30, 2026 $3,750,000 $937,500 Term Maturity Date March 31, 2028 The entire unpaid principal amount of all Term Loans March 31, 2026 provided that if any date set forth above is not a Business Day, then payment shall be due and payable on the Business Day immediately preceding such date. To the extent not previously paid, all unpaid Term Loans shall be paid in full in cash by the Borrowers on the Term Maturity Date. (c) [Reserved]. (d) Prior to any repayment of any Term Loan Borrowings of any Class under this Section, the Borrowers shall select the Borrowing or Borrowings of the applicable Class to be repaid and shall notify the Administrative Agent by telephone (confirmed by fax or through Electronic System or the Approved Borrower Portal, in each case, if arrangements for doing so have been approved by the Administrative Agent), of such selection not later than 11:00 a.m., Pacific Time, three (3) Business Days before the scheduled date of such repayment. Each repayment of a Term Loan Borrowing shall be applied ratably to the Loans included in the repaid Term Loan Borrowing. Repayments of Term Loan Borrowings shall be accompanied by accrued interest on the amounts repaid. (e)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(f) The Administrative Agent shall maintain accounts in which it shall record (i) the amount of each Loan made hereunder, the Class and Type thereof and the Interest Period applicable thereto, if any, (ii) the amount of any principal or interest due and payable or to become due and payable from the Borrowers to each Lender hereunder and (iii) the amount of any sum received by the Administrative Agent hereunder for the account of the Lenders and each Lender’s share thereof. (g) The entries made in the accounts maintained pursuant to paragraph (e) or (f) of this Section shall be prima facie evidence of the existence and amounts of the obligations recorded therein; provided that the failure of any Lender or the Administrative Agent to maintain such accounts or any $1,875,000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4"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error therein shall not in any manner affect the obligation of the Borrowers to repay the Loans in accordance with the terms of this Agreement. (h) 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SECTION 2.11 Prepayment of Loans. (a) The Borrowers shall have the right at any time and from time to time to prepay any Borrowing in whole or in part, subject to prior notice in accordance with paragraph (e) of this Section and, if applicable, payment of any break funding expenses under Section 2.16. (b) In the event and on such occasion that the Aggregate Revolving Exposure exceeds the aggregate Revolving Commitments, the Borrowers shall prepay, on demand, the Revolving Loans, LC Exposure and/or Swingline Loans (or, if no such Borrowings are outstanding, deposit cash collateral in the LC Collateral Account in an aggregate amount equal to such excess, in accordance with Section 2.06(j)). (c) In the event and on each occasion that any Net Proceeds are received by or on behalf of Holdings or any other Loan Party or any Subsidiary in respect of any Prepayment Event, the Borrowers shall, immediately after such Net Proceeds are received by Holdings or any other Loan Party or Subsidiary, prepay the Obligations and cash collateralize the LC Exposure as set forth in Section 2.11(d) below in an aggregate amount equal to 100% of such Net Proceeds; provided that, in the case of any event described in clause (a) or (b) of the definition of the term “Prepayment Event”, if the Borrower Representative shall deliver to the Administrative Agent a certificate of a Financial Officer to the effect that the Loan Parties intend to apply the Net Proceeds from such event (or a portion thereof specified in such certificate), within 90 days after receipt of such Net Proceeds, to acquire (or replace or rebuild) real property, equipment or other tangible assets (excluding inventory) to be used in the business of the Loan Parties, and certifying that no Default has occurred and is continuing, then no prepayment shall be required pursuant to this paragraph in respect of the Net Proceeds specified in such certificate, provided that to the extent of any such Net Proceeds that have not been so applied by the end of such 90 day period, a prepayment shall be required at such time in an amount equal to such Net Proceeds that have not been so applied. (d) Application of Prepayments. (i) All prepayments made pursuant to Section 2.11(a) shall be applied (A) if made with respect to the Term Loans (and in the event Term Loans of more than one Class shall be outstanding at the time, shall be allocated among the Term Loans pro rata based on the aggregate principal amounts of outstanding Term Loans of each such Class), as so allocated, and shall be applied to reduce the subsequent scheduled repayments of Term Loans of each Class to be made pursuant to Section 2.10, as directed by the Borrower Representative or (B) if made with respect to the Revolving Loans (including the Swingline Loans), to prepay such Loans in accordance with the Lenders’ respective Applicable Percentages without a corresponding reduction in the Revolving Commitments or the Swingline Commitment, as applicable, and to cash collateralize outstanding LC Exposure. 54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5"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(ii) All prepayments required to be made pursuant to Section 2.11(c) shall be applied, first, to prepay the Term Loans (and in the event Term Loans of more than one Class shall be outstanding at the time, shall be allocated among the Term Loans pro rata based on the aggregate principal amounts of outstanding Term Loans of each such Class) as so allocated, and shall be applied to reduce the subsequent scheduled repayments of Term Loans of each Class to be made pursuant to Section 2.10, to the next four scheduled repayments in direct order of maturity and then ratably based on the amount of such remaining scheduled repayments, second, to prepay the Revolving Loans (including Swingline Loans) without a corresponding reduction in the Revolving Commitments (or the Swingline Commitment, as applicable) and third, to cash collateralize outstanding LC Exposure; provided that all prepayments required to be made pursuant to Section 2.11(c) with respect to Net Proceeds arising from any casualty or other insured damage to, or any taking under power of eminent domain or by condemnation or similar proceeding, to the extent they arise from casualties or losses to cash or Inventory shall be applied, first, to prepay the Revolving Loans (including Swingline Loans) without a corresponding reduction in the Revolving Commitments (or the Swingline Commitment, as applicable), second, to cash collateralize outstanding LC Exposure, and third, to prepay the Term Loans (allocated and applied to subsequent scheduled repayments as set forth above). (e) The Borrower Representative shall notify the Administrative Agent (and, in the case of prepayment of a Swingline Loan, the Swingline Lender) by telephone (confirmed by email) or through Electronic System or the Approved Borrower Portal, in each case to the extent arrangements for doing so have been approved by the Administrative Agent, of any prepayment under this Section: (i) in the case of prepayment of a Term Benchmark Borrowing, not later than 10:00 a.m., Pacific time, three (3) U.S. Government Securities Business Days before the date of prepayment, (ii) in the case of prepayment of an RFR Revolving Borrowing, not later than 10:00 a.m., Pacific Time, five (5) U.S. Government Securities Business Days before the date of prepayment or (iii) in the case of prepayment of ABR Borrowing, not later than 10:00 a.m., Pacific time, one (1) Business Day before the date of prepayment or (iv) in the case of prepayment of a Swingline Loan, not later than 11:00 a.m., Pacific time, on the date of prepayment. Each such notice shall be irrevocable and shall specify the prepayment date and the principal amount of each Borrowing or portion thereof to be prepaid; provided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Revolving Borrowing or Term Loan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(i) accrued interest to the extent required by Section 2.13 and (ii) break funding payments pursuant to Section 2.16. SECTION 2.12 Fees. (a) The Borrowers agree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Commitment fees accrued through and including the last day of March, June, September and December of each year shall be payable in arrears on the fifteenth (15th) day following such last day and on the date on which the Revolving Commitments terminate, 55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6"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commencing on the first such date to occur after the date hereof; provided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the last day of each period but excluding the date on which the Revolving Commitments terminate). (b) The Borrowers agree to pay (i) to the Administrative Agent for the account of each Revolving Lender a participation fee with respect to its participations in each outstanding Letter of Credit,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or rates per annum separately agreed upon between the Borrowers and such Issuing Bank on the daily maximum stated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March, June, September and December of each year shall be payable on the fifteenth (15th) day following such last day,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(c) The Borrowers agree to pay to the Administrative Agent, for its own account, fees payable in the amounts and at the times separately agreed upon between the Borrowers and the Administrative Agent. (d) [Reserved]. (e) All fees payable hereunder shall be paid on the dates due, in U.S. dollars in immediately available funds, to the Administrative Agent (or to an Issuing Bank, in the case of fees payable to it) for distribution, in the case of commitment fees and participation, to the Lenders entitled thereto. Fees paid shall not be refundable under any circumstances. SECTION 2.13 Interest. (a) The Loans comprising each ABR Borrowing (including each Swingline Loan) shall bear interest at the Alternate Base Rate plus the Applicable Rate. Each Swingline Loan made pursuant to the Loan Sweep Product shall bear interest at the Alternate Base Rate plus the Applicable Rate. (b) The Loans comprising each Term Benchmark Borrowing shall bear interest at the Term SOFR Rate for the Interest Period in effect for such Borrowing plus the Applicable Rate. 56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7"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Each RFR Loan shall bear interest at a rate per annum equal to the Daily Simple SOFR plus the Applicable Rate. (d) 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per annum plus the rate otherwise applicable to such Loans as provided in the preceding paragraphs of this Section or (ii) in the case of any other amount outstanding hereunder, such amount shall accrue at 2% per annum plus the rate applicable to such fee or other obligation as provided hereunder. (e) Accrued interest on each Loan (for ABR Loans, accrued through the last day of the prior calendar month) shall be payable in arrears on each Interest Payment Date for such Loan and, in the case of Revolving Loans, upon termination of the Revolving Commitments; provided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(f) Interest computed by reference to the Term SOFR Rate or Daily Simple SOFR or the Alternate Base Rate (except when based on the Prime Rate) hereunder, shall be computed on the basis of a year of 360 days. Interest computed by reference to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Daily Simple SOFR or Term SOFR Rate shall be determined by the Administrative Agent, and such determination shall be conclusive absent manifest error. SECTION 2.14 Alternate Rate of Interest; Illegality. (a) Subject to clauses (b), (c), (d), (e) and (f) of this Section 2.14, if: (i) the Administrative Agent determines (which determination shall be conclusive and binding absent manifest error) (A) prior to commencement of any Interest Period for a Term Benchmark Borrowing, that adequate and reasonable means do not exist for ascertaining the Term SOFR Rate (including, because the Term SOFR Reference Rate is not available or published on a current basis) for such Interest Period or (B) at any time, that adequate and reasonable means do not exist for ascertaining the applicable Daily Simple SOFR; or (ii) the Administrative Agent is advised by the Required Lenders that (A)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 or (B) at any time, the Daily Simple SOFR will not adequately and fairly reflect 57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38"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cost to such Lenders (or Lender) of making or maintaining their Loans (or its Loan) included in such Borrowing; then the Administrative Agent shall give notice thereof to the Borrower Representative and the Lenders through Electronic System as provided in Section 9.01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Daily Simple SOFR is not also the subject of Section 2.14(a)(i) or (ii) above or (y) an ABR Borrowing if the Daily Simple SOFR also is the subject of Section 2.14(a)(i) or (ii) above and (2) any Borrowing Request that requests an RFR Borrowing shall instead be deemed to be a Borrowing Request, as applicable, for an ABR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 (1) any Term Benchmark Loan shall on the last day of the Interest Period applicable to such Loan, be converted by the Administrative Agent to, and shall constitute, (x) an RFR Borrowing so long as the Daily Simple SOFR is not also the subject of Section 2.14(a)(i) or (ii) above on such day or (y) an ABR Loan if the Daily Simple SOFR also is the subject of Section 2.14(a)(i) or (ii) above on such day, and (2) any RFR Loan shall on and from such day be converted by the Administrative Agent to, and shall constitute an ABR Loan. (b) 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(c) Notwithstanding anything to the contrary herein or in any other Loan Document, the Administrative Agent will have the right to make Benchmark Replacement Conforming Changes from time to time and, notwithstanding anything to the contrary herein or in any other Loan Document, any 58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39"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amendments implementing such Benchmark Replacement Conforming Changes will become effective without any further action or consent of any other party to this Agreement or any other Loan Document. (d)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Borrowers’ receipt of notice of the commencement of a Benchmark Unavailability Period, the Borrowers may revoke any request for (i) a Term Benchmark Borrowing or conversion to or continuation of Term Benchmark Loans or (ii) a RFR Borrowing or conversion to RFR Loans, during any Benchmark Unavailability Period and, failing that, the Borrowers will be deemed to have converted any request for a Term Benchmark Borrowing or RFR Borrowing, as applicable, into a request for a Borrowing of or conversion to (A) solely with respect to any such request for a Term Benchmark Borrowing, an RFR Borrowing so long as the Daily Simple SOFR is not the subject of a Benchmark Transition Event or (B) an ABR Borrowing if the Daily Simple SOFR is the subject of a Benchmark Transition Event.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Loan so long as the Daily Simple SOFR is not the subject of a Benchmark Transition Event on such day or (y) an ABR Loan if the Daily Simple SOFR is the subject of a Benchmark Transition Event on such day and (2) any RFR Loan 59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0"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shall on and from such day be converted by the Administrative Agent to, and shall constitute, an ABR Loan. (g) If any Lender determines that any Requirement of Law described in clause (b) of such definition has made it unlawful, or if any Governmental Authority has asserted that it is unlawful, for any Lender or its applicable lending office to make, maintain, fund or continue any Term Benchmark Borrowing, RFR Borrowing or any Borrowing based on the Term SOFR Rate, or any Governmental Authority has imposed material restrictions on the authority of such Lender to purchase or sell, or to take deposits of, any Dollars in the applicable interbank offering market, then, on notice thereof by such Lender to the Borrower Representative through the Administrative Agent, any obligations of such Lender to make, maintain, fund or continue Term Benchmark Loans, RFR Loans or Loans based on the Term SOFR Rate, or to continue or convert any Borrowings to Term Benchmark Borrowings or RFR Borrowings, as the case may be, will be suspended until such Lender notifies the Administrative Agent and the Borrower Representative that the circumstances giving rise to such determination no longer exist. Upon receipt of such notice, the Borrowers will, upon demand from such Lender (with a copy to the Administrative Agent), as necessary to avoid such illegality, either prepay or convert all Term Benchmark Borrowings or RFR Borrowings of such Lender to ABR Borrowings, either on the last day of the Interest Period therefor (in the case of a Term Benchmark Borrowing) or immediately (in the case of an RFR Borrowing), if such Lender may lawfully continue to maintain such Borrowings to such day, or immediately, if the Lender may not lawfully continue to maintain such Loans. Upon any such prepayment or conversion, the Borrowers will also pay accrued interest on the amount so prepaid or converted. SECTION 2.15 Increased Costs. (a) If any Change in Law shall: (i)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 or (ii) impose on any Lender or the Issuing Bank or the applicable offshore interbank market any other condition, cost or expense (other than Taxes) affecting this Agreement or Loans made by such Lender or any Letter of Credit or participation therein; or (iii)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and the result of any of the foregoing shall be to increase the cost to such Lender, such Issuing Bank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Borrowers will pay to such Lender, such Issuing Bank or such other Recipient, as the case may be, such additional amount or amounts as will compensate such Lender, such Issuing Bank or such other Recipient, as the case may be, for such additional costs incurred or reduction suffered. 60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1"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the Commitments of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Borrowers will pay to such Lender or Issuing Bank, as the case may be, such additional amount or amounts as will compensate such Lender or Issuing Bank or such Lender’s or Issuing Bank’s holding company for any such reduction suffered. (c) A certificate of a Lender or Issuing Bank setting forth the amount or amounts necessary to compensate such Lender or Issuing Bank or its holding company, as the case may be, as specified in paragraph (a) or (b) of this Section shall be delivered to the Borrower Representative and shall be conclusive absent manifest error. The Borrowers shall pay such Lender or Issuing Bank, as the case may be, the amount shown as due on any such certificate within ten (10) days after receipt thereof. (d) Failure or delay on the part of any Lender or Issuing Bank to demand compensation pursuant to this Section shall not constitute a waiver of such Lender’s or Issuing Bank’s right to demand such compensation; provided that the Borrowers shall not be required to compensate a Lender or Issuing Bank pursuant to this Section for any increased costs or reductions incurred more than 270 days prior to the date that such Lender or Issuing Bank, as the case may be, notifies the Borrower Representative of the Change in Law giving rise to such increased costs or reductions and of such Lender’s or Issuing Bank’s intention to claim compensation therefor; provided, further, that, if the Change in Law giving rise to such increased costs or reductions is retroactive, then the 270-day period referred to above shall be extended to include the period of retroactive effect thereof. SECTION 2.16 Break Funding Payments. (a) With respect to Loans that are not RFR Loans, in the event of (i) the payment of any principal of any Term Benchmark Loan other than on the last day of an Interest Period applicable thereto (including as a result of an Event of Default or as a result of an optional or mandatory prepayment of Loans), but excluding any Term Benchmark Loan that is a Swingline Loan with an Interest Period as provided in clause (iv) of the proviso in the definition of “Interest Period”),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2.011(e) and is revoked in accordance therewith), or (iv) the assignment of any Term Benchmark Loan other than on the last day of the Interest Period applicable thereto as a result of a request by the Borrower Representative pursuant to Section 2.19 or 9.02(d), then, in any such event, the Borrowers shall compensate each Lender for the loss, cost and expense attributable to such event. (b)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2.11(e) and is revoked in accordance therewith) or (iii) the assignment of any RFR Loan other than on the Interest Payment Date applicable thereto as a result of a request by the 61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2"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Borrower Representative pursuant to Section 2.19 or 9.02(d), then, in any such event, the Borrowers shall compensate each Lender for the loss, cost and expense attributable to such event. (c) A certificate of any Lender setting forth any amount or amounts that such Lender is entitled to receive pursuant to this Section 2.16 shall be delivered to the Borrower Representative and shall be conclusive absent manifest error. The Borrowers shall pay such Lender the amount shown as due on any such certificate within ten (10) days after receipt thereof. SECTION 2.17 Withholding of Taxes; Gross-Up. (a)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(b) Payment of Other Taxes by Loan Parties. The Loan Parties shall timely pay to the relevant Governmental Authority in accordance with applicable law, or at the option of the Administrative Agent timely reimburse it for, Other Taxes. (c) Evidence of Payment. As soon as practicable after any payment of Taxes by any Loan Party to a Governmental Authority pursuant to this Section 2.17, the Borrower Representative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(d) Indemnification by the Loan Parties.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 (e) Indemnification by the Lenders.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62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3"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 (f) Status of Lenders.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 Representative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any Borrower is a U.S. Person, (A)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 (B)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 (1) 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63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4"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establishing an exemption from, or reduction of, U.S. federal withholding Tax pursuant to the “business profits” or “other income” article of such tax treaty; (2) in the case of a Foreign Lender claiming that its extension of credit will generate U.S. effectively connected income, an executed copy of IRS Form W-8ECI; (3) in the case of a Foreign Lender claiming the benefits of the exemption for portfolio interest under Section 881(c) of the Code, (x) a certificate substantially in the form of Exhibit B-1 to the effect that such Foreign Lender is not a “bank” within the meaning of Section 881(c)(3)(A) of the Code, a “10 percent shareholder” of a Borrower within the meaning of Section 881(c)(3)(B) of the Code, or a “controlled foreign corporation” described in Section 881(c)(3)(C) of the Code (a “U.S. Tax Compliance Certificate”) and (y) an executed copy of IRS Form W 8BEN or IRS Form W-8BEN-E, as applicable; or (4) to the extent a Foreign Lender is not the beneficial owner, an executed copy of IRS Form W-8IMY, accompanied by IRS Form W-8ECI, IRS Form W-8BEN or IRS Form W-8BEN-E, as applicable, a U.S. Tax Compliance Certificate substantially in the form of Exhibit B-2 or Exhibit B-3,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B-4 on behalf of each such direct and indirect partner; (C)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Representative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their obligations under FATCA and to determine that such Lender has complied with such Lender’s obligations under FATCA or to 64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45"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 (g) Treatment of Certain Refunds.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 (h) Survival.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 (i) Defined Terms. For purposes of this Section 2.17, the term “Lender” includes any Issuing Bank and the term “applicable law” includes FATCA. SECTION 2.18 Payments Generally; Allocation of Proceeds; Sharing of Setoffs. (a) The Borrowers shall make each payment or prepayment required to be made by it hereunder (whether of principal, interest, fees or reimbursement of LC Disbursements, or of amounts payable under Sections 2.15, 2.16 or 2.17, or otherwise) prior to 2:00 p.m., Pacific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Borrowers from time to time,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65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6"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U.S. dollars. (b) All payments and any proceeds of Collateral received by the Administrative Agent (i) not constituting either (A) a specific payment of principal, interest, fees or other sum payable under the Loan Documents (which shall be applied as specified by the Borrowers), or (B) a mandatory prepayment (which shall be applied in accordance with Section 2.11) or (ii) after an Event of Default has occurred and is continuing and, in the case of this clause (ii) the Administrative Agent so elects or the Required Lenders so direct, shall be applied ratably first, to pay any fees, indemnities, or expense reimbursements then due to the Administrative Agent, the Swingline Lender and the Issuing Banks from the Borrowers (other than in connection with Banking Services Obligations or Swap Agreement Obligations), second, to pay any fees, indemnities, or expense reimbursements then due to the Lenders from the Borrowers (other than in connection with Banking Services Obligations or Swap Agreement Obligations), third, to pay interest then due and payable on the Loans ratably, fourth, to prepay principal on the Loans and unreimbursed LC Disbursements, to pay an amount to the Administrative Agent equal to one hundred five percent (105%) of the aggregate LC Exposure, to be held as cash collateral for such Obligations, and to pay any amounts owing in respect of Swap Agreement Obligations and Banking Services Obligations (other than obligations pursuant to clause (e) of the definition of Banking Services) up to and including the amount most recently provided to the Administrative Agent pursuant to Section 2.22, ratably (with amounts allocated to the Term Loans of any Class applied to reduce the subsequent scheduled repayments of the Term Loans of such Class to be made pursuant to Section 2.10 ratably based on the amount of such remaining scheduled repayments), fifth, to the payment of any other Secured Obligation due to the Administrative Agent or any Lender from the Borrowers or any other Loan Party and sixth, to pay any amounts owing in respect of obligations pursuant to clause (e) of the definition of Banking Services.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(i) on the expiration date of the Interest Period applicable thereto, or (ii) in the event, and only to the extent, that there are no outstanding ABR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 Notwithstanding the foregoing, Secured Obligations arising under Banking Services Obligations or Swap Agreement Obligations shall be excluded from the application described above and paid in clause fifth if the Administrative Agent has not received written notice thereof, together with such supporting documentation as the Administrative Agent may have reasonably requested from the applicable provider of such Banking Services or Swap Agreements. (c) 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2.05 or a deemed request as provided in this Section or may be deducted from any deposit account of the Borrowers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 that all such amounts charged shall constitute Loans (including Swingline Loans), and that all such Borrowings shall be deemed to have 66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47"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been requested pursuant to Sections 2.03 or 2.05, as applicable, and (ii) the Administrative Agent to charge any deposit account of any Borrower maintained with the Administrative Agent for each payment of principal, interest and fees as it becomes due hereunder or any other amount due under the Loan Documents. (d)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(e) 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Representative to the Administrative Agent pursuant to Section 2.11(e)), notice from the Borrower Representative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Banks, as the case may be, severally agrees to repay to the Administrative Agent forthwith on demand the amount so distributed to such Lender or Issuing Banks with interest thereon, for each day from and including the date such amount is distributed to it to but excluding the date of payment to the Administrative Agent, at the NYFRB Rate. (f) The Administrative Agent may from time to time provide the Borrowers with account statements or invoices with respect to any of the Secured Obligations (the “Statements”).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67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8"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past due amounts) shall not constitute a waiver of the Administrative Agent’s or the Lenders’ right to receive payment in full at another time. SECTION 2.19 Mitigation Obligations; Replacement of Lenders. (a) 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 (b) If any Lender requests compensation under Section 2.15, or if the Borrowers are required to pay any Indemnified Taxes or additional amounts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other Loan Documents to an assignee that shall assume such obligations (which assignee may be another Lender, if a Lender accepts such assignment); provided that (i) the Borrowers shall have received the prior written consent of the Administrative Agent (and in circumstances where its consent would be required under Section 9.04, the Issuing Banks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SECTION 2.20 Defaulting Lenders. Notwithstanding any provision of this Agreement to the contrary, if any Lender becomes a Defaulting Lender, then the following provisions shall apply for so long as such Lender is a Defaulting Lender: 68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49"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fees shall cease to accrue on the unfunded portion of the Revolving Commitment of such Defaulting Lender pursuant to Section 2.12(a); (b) 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LC Exposure with respect to such Defaulting Lender in accordance with this Section; fourth, to any amounts owing by such Defaulting Lender to any other Lender hereunder for break funding payments as a result of any transfer or assignment of Loans between such Lender and such Defaulting Lender; fifth, as the Borrower Representative may request (so long as no Default or Event of Default exists), to the funding of any Loan in respect of which such Defaulting Lender has failed to fund its portion thereof as required by this Agreement, as determined by the Administrative Agent; sixth,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seventh,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eighth,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or under any other Loan Document; and ninth,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and agrees that the application and operation of the provisions in this Section 2.20 shall not result in a default of the Borrowers’ obligations to a Defaulting Lender under this Agreement or any other Loan Document; (c) such Defaulting Lender shall not have the right to vote on any issue on which voting is required (other than to the extent expressly provided in Section 9.02(b)) and the Revolving Commitment and Revolving Exposure and, if applicable, the Term Commitment and Term Loans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69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0"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amendment, waiver or other modification requiring the consent of such Lender or each Lender directly affected thereby; (d) if any Swingline Exposure or LC Exposure exists at the time such Lender becomes a Defaulting Lender then: (i) 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 (ii) if the reallocation described in clause (i) above cannot, or can only partially, be effected, the Borrowers shall within one (1) Business Day following notice by the Administrative Agent (x) first, prepay such Swingline Exposure and (y) second, cash collateralize, for the benefit of the Issuing Banks, the Borrowers’ obligations corresponding to such Defaulting Lender’s LC Exposure (after giving effect to any partial reallocation pursuant to clause (i) above) in accordance with the procedures set forth in Section 2.06(j) for so long as such LC Exposure is outstanding; (iii) 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 (iv) if the LC Exposure of the non-Defaulting Lenders is reallocated pursuant to clause (i) above, then the fees payable to the Lenders pursuant to Sections 2.12(a) and 2.12(b) shall be adjusted in accordance with such non-Defaulting Lenders’ Applicable Percentages; and (v) 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to the Issuing Banks until and to the extent that such LC Exposure is reallocated and/or cash collateralized; and (e) so long as such Lender is a Defaulting Lender, the Swingline Lender shall not be required to fund any Swingline Loan and no Issuing Bank shall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Borrowers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 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70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1"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or more other agreements in which such Lender commits to extend credit, the Swingline Lender shall not be required to fund any Swingline Loan and no Issuing Bank shall be required to issue, amend or increase any Letter of Credit, unless the Swingline Lender or such Issuing Bank, as the case may be, shall have entered into arrangements with the Borrowers or such Lender, satisfactory to the Swingline Lender or such Issuing Bank, as the case may be, to defease any risk to it in respect of such Lender hereunder. In the event that each of the Administrative Agent, the Borrowers, the Swingline Lender and each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 SECTION 2.21 Returned Payments.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 SECTION 2.22 Banking Services and Swap Agreements. Each Lender or Affiliate thereof providing Banking Services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 For the avoidance of doubt, so long as Chase or its Affiliate is the Administrative Agent, neither Chase nor any of its Affiliates providing Banking Services for, or having Swap Agreements with, any Loan Party or any Subsidiary or Affiliate of a Loan Party shall be required to provide any notice described in this Section 2.22 in respect of such Banking Services or Swap Agreements. ARTICLE III REPRESENTATIONS AND WARRANTIES Each Loan Party represents and warrants to the Lenders that (and where applicable, agrees): SECTION 3.01 Organization; Powers. Each Loan Party and each Subsidiary is duly organized or formed, validly existing and in good standing under the laws of the jurisdiction of its organization, has 71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2"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SECTION 3.02 Authorization; Enforceability.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 SECTION 3.03 Governmental Approvals; No Conflicts.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other requirement to create, any Lien on any asset of any Loan Party or any Subsidiary, except Liens created pursuant to the Loan Documents. SECTION 3.04 Financial Condition; No Material Adverse Change. (a) Holdings has heretofore furnished to the Lenders its consolidated balance sheet and statements of income, stockholders’ equity and cash flows (i) as of and for the fiscal year ended December 31, 2024, reported on by KPMG US LLP, independent public accountants, and (ii) as of and for the fiscal quarter and the portion of the fiscal year ended September 30, 2021, certified by its Financial Officer. Such financial statements present fairly, in all material respects, the financial position and results of operations and cash flows of Holdings and its consolidated Subsidiaries as of such dates and for such periods in accordance with GAAP, except as otherwise expressly noted therein and subject to normal year-end audit adjustments all of which, when taken as a whole, would not be materially adverse and the absence of footnotes in the case of the statements referred to in clause (ii) above. (b) No event, change or condition has occurred that has had, or could reasonably be expected to have, a Material Adverse Effect, since December 31, 2024. SECTION 3.05 Properties. (a) As of the Effective Date, Schedule 3.05 sets forth the address of each parcel of real property that is (i) owned by any Loan Party or (ii) leased by any Loan Party where Collateral with a value in excess of $1,000,000 is located. To the knowledge of each Loan Party, each of such leases and subleases is valid and enforceable in accordance with its terms and is in full force and effect, and no defaults by any party to any such leases or subleases exist which, individually or in the aggregate, would reasonably be expected to have a Material Adverse Effect. Each of the Loan Parties and each Subsidiary has good and indefeasible title to, or valid leasehold interests in, all of its real and personal property, free 72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3"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of all Liens other than those permitted by Section 6.02, except for such defects in title as could not, individually or in the aggregate, reasonably be expected to have a Material Adverse Effect. (b) Each Loan Party and each Subsidiary owns, or is licensed to use, all trademarks, tradenames, copyrights, patents and other intellectual property used in its business as currently conducted, except for such trademarks, tradenames, copyrights, patents and other intellectual property the failure of which to own or license would not reasonably be expected to have, individually or in the aggregate, a Material Adverse Effect. To the knowledge of each Loan Party, the use thereof by each Loan Party and each Subsidiary does not infringe upon the rights of any other Person other than, in each case, as would not reasonably be expected to have, individually or in the aggregate, a Material Adverse Effect. SECTION 3.06 Litigation and Environmental Matters. (a) 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or (ii) that involve any Loan Document or the Transactions. (b) Except with respect to any matters that, individually or in the aggregate, could not reasonably be expected to result in a Material Adverse Effect, (i) no Loan Party or any Subsidiary has received written notice of any claim with respect to any Environmental Liability or knows of any basis for any Environmental Liability and (ii)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 SECTION 3.07 Compliance with Laws and Agreements; No Default. Except where the failure to do so, individually or in the aggregate, could not reasonably be expected to result in a Material Adverse Effect, each Loan Party and each Subsidiary is in compliance with (i) all Requirements of Law applicable to it or its property and (ii) all indentures, agreements and other instruments binding upon it or its property. No Default has occurred and is continuing. SECTION 3.08 Investment Company Status. No Loan Party or any Subsidiary is an “investment company” as defined in, or subject to regulation under, the Investment Company Act of 1940. SECTION 3.09 Taxes. Each Loan Party and each Subsidiary has timely filed or caused to be filed all Tax returns and reports required to have been filed and has paid or caused to be paid all Taxes required to have been paid by it, except (i) Taxes that are being contested in good faith by appropriate proceedings and for which such Loan Party or such Subsidiary, as applicable, has set aside on its books adequate reserves or (ii) to the extent that the failure to do so could not reasonably be expected to result in a Material Adverse Effect. No tax Liens have been filed and no claims are being asserted with respect to any such taxes. SECTION 3.10 ERISA. No ERISA Event has occurred or is reasonably expected to occur that, when taken together with all other ERISA Events for which liability is reasonably expected to occur, could reasonably be expected to result in a Material Adverse Effect. The present value of all accumulated benefit obligations under each Plan (based on the assumptions used for purposes of 73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4"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Statement of Financial Accounting Standards No. 87) did not, as of the date of the most recent financial statements reflecting such amounts, exceed the fair market value of the assets of such Plan. SECTION 3.11 Disclosure. (a) 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 (b) As of the Effective Date, to the best knowledge of each Borrower, the information included in the Beneficial Ownership Certification provided on or prior to the Effective Date to any Lender in connection with this Agreement is true and correct in all respects. SECTION 3.12 Material Agreements. No Loan Party or any Subsidiary is in default in the performance, observance or fulfillment of any of the obligations, covenants or conditions contained in (i) any material agreement to which it is a party or (ii) any agreement or instrument evidencing or governing Indebtedness, in each case, that could, individually or in the aggregate, reasonably be expected to result in a Material Adverse Effect. SECTION 3.13 Solvency. (a) Immediately after the consummation of the Transactions to occur on the Effective Date, (i) the fair value of the assets of the Loan Parties and their Subsidiaries, on a consolidated basis, at a fair valuation, will exceed their debts and liabilities, subordinated, contingent or otherwise; (ii) the present fair saleable value of the property of the Loan Parties and their Subsidiaries, on a consolidated basis, will be greater than the amount that will be required to pay the probable liability of their debts and other liabilities, subordinated, contingent or otherwise, as such debts and other liabilities become absolute and matured; (iii) the Loan Parties and their Subsidiaries, on a consolidated basis, will be able to pay their debts and liabilities, subordinated, contingent or otherwise, as such debts and liabilities become absolute and matured; and (iv) the Loan Parties and their Subsidiaries, on a consolidated basis, will not have unreasonably small capital with which to conduct the business in which they are engaged as such business is now conducted and is proposed to be conducted after the Effective Date. (b) No Loan Party intends to, nor will permit any Subsidiary to, and no Loan Party believes that it or any Subsidiary will, on a consolidated basis, incur debts beyond their ability to pay such debts as they mature, taking into account the timing of and amounts of cash to be received by it or any such Subsidiary and the timing of the amounts of cash to be payable on or in respect of its Indebtedness or the Indebtedness of any such Subsidiary. SECTION 3.14 Insurance. The Loan Parties maintain and cause each of their Subsidiaries to maintain with financially sound and reputable carriers having a financial strength rating of at least A- by A.M. Best Company insurance in such amounts (with no greater risk retention) and against such risks 74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5"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except to the extent failure to pay could not reasonably be expected to result in a Material Adverse Effect, all premiums in respect of such insurance have been paid. The Loan Parties believe that the insurance maintained by or on behalf of the Loan Parties and their Subsidiaries is adequate and is customary for companies engaged in the same or similar businesses operating in the same or similar locations. SECTION 3.15 Capitalization and Subsidiaries. Schedule 3.15 sets forth (a) a correct and complete list of the name and relationship to Holdings of each Subsidiary, (b) a true and complete listing of each class of each of the Loan Parties’ authorized Equity Interests, of which all of such issued Equity Interests are validly issued, outstanding, fully paid and non-assessable, and owned beneficially and of record by the Persons identified on Schedule 3.15, and (c) the type of entity of Holdings and each Subsidiary. All of the issued and outstanding Equity Interests owned by any Loan Party have been (to the extent such concepts are relevant with respect to such ownership interests) duly authorized and issued and are fully paid and non-assessable. SECTION 3.16 Security Interest in Collateral. The provisions of this Agreement and the other Loan Documents create legal, valid, binding and enforceable Liens on all the Collateral in favor of the Administrative Agent, for the benefit of the Secured Parties, as security for the Obligations, to the extent that a legal, valid, binding and enforceable Lien in such Collateral may be created under the UCC (and subject, in each case, to applicable bankruptcy, insolvency, reorganization, moratorium or other laws affecting creditors’ rights generally and subject to general principles of equity, regardless of whether considered in a proceeding in equity or at law), and such Liens constitute, or will upon the filing of UCC financing statements and copyright security agreements and the obtaining of “control” under the UCC, in each case, as applicable, with respect to the relevant Collateral as required under the UCC or the real property law of any applicable jurisdictions, perfected and continuing Liens on the Collateral, securing the Secured Obligations, and having priority over all other Liens on the Collateral except in the case of (a) Permitted Encumbrances, to the extent any such Permitted Encumbrances would have priority over the Liens in favor of the Administrative Agent pursuant to any applicable law and (b) Liens perfected only by possession (including possession of any certificate of title), to the extent the Administrative Agent has not obtained or does not maintain possession of such Collateral. SECTION 3.17 Employment Matters. As of the Effective Date, there are no strikes, lockouts or slowdowns against any Loan Party or any Subsidiary pending or, to the knowledge of any Loan Party, threatened. Except as, individually or in the aggregate, could not reasonably be expected to result in a Material Adverse Effect, the hours worked by and payments made to employees of the Loan Parties and their Subsidiaries have not been in violation of the Fair Labor Standards Act or any other applicable federal, state, local or foreign law dealing with such matters. All material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SECTION 3.18 Margin Regulations.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75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56"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on a consolidated basis) will be Margin Stock. Neither the making of any Loan hereunder nor the use of proceeds thereof will violate the provisions of Regulation U or X of the Federal Reserve Board. SECTION 3.19 Use of Proceeds. The proceeds of the Loans have been used and will be used, whether directly or indirectly, as set forth in Section 5.08. SECTION 3.20 No Burdensome Restrictions. No Loan Party is subject to any Burdensome Restrictions except Burdensome Restrictions permitted under Section 6.10. SECTION 3.21 Anti-Corruption Laws, Anti-Money Laundering Laws and Sanctions. Each Loan Party has implemented and maintains in effect policies and procedures designed to ensure compliance by such Loan Party, its Subsidiaries and their respective directors, officers, employees and agents with Anti-Corruption Laws, Anti-Money Laundering Laws and applicable Sanctions, and such Loan Party, its Subsidiaries and their respective officers, directors, employees and agents, are in compliance with Anti-Corruption Laws, Anti-Money Laundering Laws and applicable Sanctions in all material respects and are not knowingly engaged in any activity that could reasonably be expected to result in any Loan Party being designated as a Sanctioned Person. None of (a) any Loan Party, any Subsidiary,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thereof, Transaction or other transaction contemplated by this Agreement or the other Loan Documents will violate Anti-Corruption Laws, Anti-Money Laundering Laws or applicable Sanctions. SECTION 3.22 Affected Financial Institutions. No Loan Party is an Affected Financial Institution. SECTION 3.23 Plan Assets; Prohibited Transactions. None of the Loan Parties or any of their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 SECTION 3.24 Affiliate Transactions. Except as set forth on Schedule 3.24, as of the Effective Date, (i) there are no existing or proposed agreements, arrangements, understandings or transactions between any Loan Party and any of the officers, members, managers, directors, stockholders, parents, holders of other Equity Interests, employees or Affiliates (other than Subsidiaries) of any Loan Party or any members of their respective immediate families, except as would be permitted under Section 6.09, and (ii) none of the foregoing Persons is directly or indirectly indebted to or has any direct or indirect ownership, partnership, or voting interest in any Affiliate of any Loan Party or any Person with which any Loan Party has a business relationship or which competes with any Loan Party. SECTION 3.25 Outbound Investment Rules. No Loan Party nor any of its Subsidiaries is a “covered foreign person” as that term is used in the Outbound Investment Rules. No Loan Party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any Borrower were a U.S. Person or (iii) any other activity that would cause the Administrative Agent or any Lender to 76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57"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be in violation of the Outbound Investment Rules or cause the Administrative Agent or any Lender to be legally prohibited by the Outbound Investment Rules from performing under this Agreement. ARTICLE IV CONDITIONS SECTION 4.01 Effective Date. The obligations of the Lenders to make Loans and of the Issuing Bank to issue Letters of Credit hereunder shall not become effective until the date on which each of the following conditions is satisfied (or waived in accordance with Section 9.02): (a) Credit Agreement and Loan Documents.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other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each such requesting Lender and a written opinion of the Loan Parties’ counsel, addressed to the Administrative Agent, the Issuing Bank and the Lenders, all in form and substance satisfactory to the Administrative Agent. (b) Financial Statements and Projections. The Lenders shall have received (i) audited consolidated financial statements of Holdings and its Subsidiaries for the 2023 and 2024 fiscal years, (ii) unaudited interim consolidated financial statements of Holdings and its Subsidiaries for each fiscal quarter ended after the date of the latest applicable financial statements delivered pursuant to clause (i) of this paragraph as to which such financial statements are available (including the fiscal quarter ending March 31, 2025), and such financial statements shall not, in the reasonable judgment of the Administrative Agent, reflect any material adverse change in the consolidated financial condition of Holdings and its Subsidiaries, as reflected in the audited, consolidated financial statements described in clause (i) of this paragraph and (iii) satisfactory Projections for the period beginning January 1, 2024 through and including December 31, 2029. (c) Closing Certificates; Certified Certificate of Incorporation; Good Standing Certificates.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a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 (d) No Default Certificate. The Administrative Agent shall have received a certificate, signed by a Financial Officer of each Borrower and each other Loan Party,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 77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58"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 Fees.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 (f) Lien and IP Searches. The Administrative Agent shall have received the results of a recent lien search in the jurisdiction of organization of each Loan Party and each jurisdiction where assets of the Loan Parties are located, and the results of search reports in respect of the intellectual property of the Loan Parties, and such searches shall reveal no Liens on any of the assets of the Loan Parties except for liens permitted by Section 6.02 or discharged on or prior to the Effective Date pursuant to a pay-off letter or other documentation satisfactory to the Administrative Agent. (g) [Reserved]. (h) Funding Account. The Administrative Agent shall have received a notice setting forth the deposit account of the Borrower Representative (the “Funding Account”) to which the Administrative Agent is authorized by the Borrowers to transfer the proceeds of any Borrowings requested or authorized pursuant to this Agreement. (i) [Reserved]. (j) Solvency. The Administrative Agent shall have received a solvency certificate signed by a Financial Officer of Holdings dated the Effective Date in form and substance reasonably satisfactory to the Administrative Agent. (k) Pledged Equity Interests; Stock Powers; Pledged Notes.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 (l) Filings, Registrations and Recordings.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shall be in proper form for filing, registration or recordation. (m) Insurance. The Administrative Agent shall have received evidence of insurance coverage in form, scope, and substance reasonably satisfactory to the Administrative Agent and otherwise in compliance with the terms of Section 5.10 of this Agreement and Section 4.12 of the Security Agreement. (n) Letter of Credit Application. The Administrative Agent shall have received a properly completed letter of credit application (whether standalone or pursuant to a master agreement, as applicable) if the issuance of a Letter of Credit will be required on the Effective Date. 78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59"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 Legal Due Diligence. The Administrative Agent and its counsel shall have completed all legal due diligence, the results of which shall be satisfactory to the Administrative Agent in its sole discretion. (p) USA PATRIOT Act, Etc. (i) The Administrative Agent shall have received, (x) at least five (5)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(y) a properly completed and signed IRS Form W-8 or W-9, as applicable, for each Loan Party,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 (q) Other Documents. The Administrative Agent shall have received such other documents as the Administrative Agent, the Issuing Bank, any Lender or their respective counsel may have reasonably requested. Without limiting the generality of the provisions of Section 9.02, for purposes of determining compliance with the conditions specified in this Section 4.01 on the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 The Administrative Agent shall notify the Loan Parties, the Lenders and the Issuing Bank of the Effective Date, and such notice shall be conclusive and binding. SECTION 4.02 Each Credit Event. The obligation of each Lender to make a Loan on the occasion of any Borrowing, and of the Issuing Bank to issue, amend or extend any Letter of Credit, is subject to the satisfaction of the following conditions: (a) The representations and warranties of the Loan Parties set forth in the Loan Documents shall be true and correct in all material respects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(b) At the time of and immediately after giving effect to such Borrowing or the issuance, amendment or extension of such Letter of Credit, as applicable, no Default shall have occurred and be continuing. (c) After giving effect to any Borrowing or the issuance, amendment or extension of any Letter of Credit, Revolving Loan Availability shall not be less than zero. 79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0"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Each Borrowing and each issuance, amendment or extension of a Letter of Credit shall be deemed to constitute a representation and warranty by the Borrowers on the date thereof as to the matters specified in paragraphs (a), (b) and (c) of this Section. Notwithstanding the failure to satisfy the conditions precedent set forth in paragraphs (a), (b) and (c)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the Lenders from time to time if the Administrative Agent believes that making such Loans or issuing, amending or extending, or causing the issuance, amendment or extension of, any such Letter of Credit is in the best interests of the Lenders. ARTICLE V AFFIRMATIVE COVENANTS Until all of the Secured Obligations shall have been Paid in Full, each Loan Party covenants and agrees, jointly and severally with all of the other Loan Parties, with the Lenders that: SECTION 5.01 Financial Statements and Other Information. The Borrowers will furnish to the Administrative Agent (for distribution to the Lenders): (a) Commencing with the fiscal year ending December 31, 2025, no later than the earlier of (x) five (5) Business Days after Holdings files its form 10-K for each fiscal year or (y) five (5) Business Days after the day that is ninety (90) days after the end of each fiscal year of Holdings, its audited consolidated balance sheet and related statements of operations, stockholders’ equity and cash flows as of the end of and for such fiscal year, setting forth in each case in comparative form the figures for the previous fiscal year, all reported on by KPMG US LLP or such other independent public accountants reasonably acceptable to the Administrative Agent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 accompanied by any management letter prepared by said accountants; (b) commencing with the fiscal quarter ending June 30, 2025, no later than the earlier of (x) five (5) Business Days after Holdings files its form 10-Q for any fiscal quarter or (y) five (5) Business Days after the day that is forty-five (45) days after the end of each fiscal quarter of each fiscal year of Holdings,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(c) [reserved]; (d) Concurrently with the delivery of financial statements under clause (a) or (b) above, a Compliance Certificate (i) certifying as presenting fairly in all material respects the financial condition and results of operations of Holdings and its consolidated Subsidiaries on a consolidated basis in 80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1"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accordance with GAAP consistently applied, subject to normal year-end audit adjustments and the absence of footnotes, (ii) certifying as to whether any Default has occurred and, if any Default has occurred, specifying the details thereof and any action taken or proposed to be taken with respect thereto, (iii) setting forth reasonably detailed calculations demonstrating compliance with Section 6.12,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and (v) setting forth any differences from the financial statements delivered under clause (a) or (b) in accordance with GAAP and such financial statements disregarding FAS 842; (e) [reserved]; (f) as soon as available, but in any event no later than ninety (90) days after the end of each fiscal year of Holdings, a copy of the plan and forecast (including a projected consolidated balance sheet, income statement and cash flow statement) of Holdings for each month of the upcoming fiscal year (the “Projections”) in form reasonably satisfactory to the Administrative Agent; (g) promptly following any request therefor, copies of any detailed audit reports, management letters or recommendations submitted to the board of directors (or the audit committee of the board of directors) of Holdings or any Borrower by independent accountants in connection with the accounts or books of Holdings or any Subsidiary, or any audit of any of them as the Administrative Agent or any Lender (through the Administrative Agent) may reasonably request; (h) promptly following any request therefor, (x) such other information regarding the operations, material changes in ownership of Equity Interests, business affairs and financial condition of any Loan Party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 (i) promptly after any request therefor by the Administrative Agent or any Lender, copies of (i) any documents described in Section 101(k)(1) of ERISA that any Loan Party or any ERISA Affiliate may request with respect to any Multiemployer Plan and (ii) any notices described in Section 101(l)(1) of ERISA that any Loan Party or any ERISA Affiliate may request with respect to any Multiemployer Plan; provided that if any Loan Party or any ERISA Affiliate has not requested such documents or notices from the administrator or sponsor of the applicable Multiemployer Plan, the applicable Loan Party or ERISA Affiliate shall promptly make a request for such documents and notices from such administrator or sponsor and shall provide copies of such documents and notices promptly after receipt thereof; and (j) promptly after receipt thereof by Holdings, its direct or indirect parent (including Public Parent),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Holdings or any Subsidiary thereof. So long as Public Parent has had no direct or indirect Subsidiaries other than Holdings, the direct parent companies of Holdings, and the Subsidiaries of Holdings, and has had no assets or operations other than those directly incident to its ownership of Holdings and its Subsidiaries, the financial statements required to be delivered pursuant to Section 5.01(a), (b) may be at the Public Parent level so long as they are 81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2"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accompanied by reasonably detailed accounting of the effects of including Public Parent and any other parent company of Holdings. Documents required to be delivered pursuant to Section 5.01(a), (b) or (j)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provided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facsimile or through Electronic System) of the posting of any such documents and provide to the Administrative Agent through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Borrowers with any such request by a Lender for delivery, and each Lender shall be solely responsible for timely accessing posted documents or requesting delivery of paper copies of such document to it and maintaining its copies of such documents. SECTION 5.02 Notices of Material Events. Each of the Borrowers and Holdings will furnish to the Administrative Agent (for distribution to the Lenders) promptly after any Responsible Officer of the Loan Parties obtains knowledge thereof (but in any event within any time period that may be specified below) written notice of the following: (a) the occurrence of any Default or Event of Default within ten (10) days; (b) receipt of any notice of any investigation by a Governmental Authority or any litigation or proceeding commenced or threatened against any Loan Party or any Subsidiary that (i) seeks damages in excess of $5,000,000 (except to the extent covered by insurance for which the insurer has not denied coverage), (ii) seeks injunctive relief that if adversely determined is reasonably anticipated to have a Material Adverse Effect, (iii) 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 (vi) asserts liability on the part of any Loan Party or any Subsidiary in excess of $5,000,000 in respect of any tax, fee, assessment, or other governmental charge, or (vii) involves any product recall; (c) any material change in accounting or financial reporting practices by Holdings or any Subsidiary; (d) the occurrence of any ERISA Event that, alone or together with any other ERISA Events that have occurred, could reasonably be expected to result in liability of the Loan Parties and their Subsidiaries in an aggregate amount exceeding $5,000,000; (e) within two (2) Business Days after the occurrence thereof, any Loan Party entering into a Swap Agreement or an amendment to a Swap Agreement, together with copies of all agreements evidencing such Swap Agreement or amendment; 82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3"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 any other development that results in, or could reasonably be expected to result in, a Material Adverse Effect; and (g) any change in the information provided in the Beneficial Ownership Certification delivered to such Lender that would result in a change to the list of beneficial owners identified in such certification. Each notice delivered under this Section (i) shall be in writing, (ii) shall contain a heading or a reference line that reads “Notice under Section 5.02 of Dutch Bros., LLC, et. al. Second Amended and Restated Credit Agreement dated May 29, 2025” and (iii) shall be accompanied by a statement of a Financial Officer or other executive officer of the Borrower Representative setting forth the details of the event or development requiring such notice and any action taken or proposed to be taken with respect thereto. SECTION 5.03 Existence; Conduct of Business.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provided that the foregoing shall not prohibit any merger, consolidation, liquidation or dissolution permitted under Section 6.03 and (b) carry on and conduct its business in substantially the same manner and in substantially the same fields of enterprise as it is presently conducted. SECTION 5.04 Payment of Obligations.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the failure to make payment pending such contest could not reasonably be expected to result in a Material Adverse Effect; provided, however, that each Loan Party will, and will cause each Subsidiary to, remit withholding taxes and other payroll taxes to appropriate Governmental Authorities as and when claimed to be due, notwithstanding the foregoing exceptions. SECTION 5.05 Maintenance of Properties. Each Loan Party will, and will cause each Subsidiary to, keep and maintain all property material to the conduct of its business in good working order and condition, ordinary wear and tear excepted, except where the failure to do so would not reasonably be expected to have, individually or in the aggregate, a Material Adverse Effect. SECTION 5.06 Books and Records; Inspection Rights.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to conduct at the Loan Party’s premises field examinations of the Loan Party’s assets, liabilities, books and records, including examining and making extracts from its books and records, environmental assessment reports and Phase I or Phase II studies, and to discuss its affairs, finances and condition with its officers and independent accountants (and hereby authorizes the Administrative Agent and each Lender to contact its independent accountants directly) and, upon written request of the Administrative Agent, provide contact information for each bank where each Loan Party has a deposit and/or securities account and each such Loan Party hereby authorizes the Administrative Agent and each Lender to contact the bank(s) in order to request bank statements and/or balances, all at such reasonable times and as often as 83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4"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reasonably requested. The Loan Parties acknowledge that the Administrative Agent, after exercising its rights of inspection, may prepare and distribute to the Lenders certain Reports pertaining to the Loan Parties’ assets for internal use by the Administrative Agent and the Lenders. SECTION 5.07 Compliance with Laws and Material Contractual Obligations. Each Loan Party will, and will cause each Subsidiary to, (i) comply with each Requirement of Law applicable to it or its property (including, without limitation, Environmental Laws) and (ii) perform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Anti-Money Laundering Laws and applicable Sanctions. SECTION 5.08 Use of Proceeds. (a) The proceeds of the Term Loans and the Revolving Loans and the Letters of Credit will be used only to refinance existing Indebtedness of the Loan Parties on the Effective Date, for working capital requirements and for general corporate purposes in the ordinary course of business of the Borrowers and their Subsidiaries, including Capital Expenditures and Permitted Acquisitions. No part of the proceeds of any Loan and no Letter of Credit will be used, whether directly or indirectly, for any purpose that entails a violation of any of the regulations of the Federal Reserve Board, including Regulations T, U and X. (b) The Borrowers will not request any Borrowing or Letter of Credit, and no Borrower shall use, and each Borrower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and in violation of any Anti-Money Laundering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 SECTION 5.09 Accuracy of Information.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Loan Parties on the date thereof as to the matters specified in this Section 5.09; provided that, with respect to the Projections, the Loan Parties will cause the Projections to be prepared in good faith based upon assumptions believed to be reasonable at the time. SECTION 5.10 Insurance.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84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65"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Administrative Agent, but no less frequently than annually, information in reasonable detail as to the insurance so maintained. SECTION 5.11 [Reserved]. SECTION 5.12 Casualty and Condemnation. The Borrowers (a) will furnish to the Administrative Agent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Collateral Documents. SECTION 5.13 Depository Banks. Each Loan Party and each Subsidiary shall be permitted to maintain the Administrative Agent and any Lender as its depository bank, including for the maintenance of operating, administrative, cash management and collection activity and the maintenance of all deposit accounts and securities accounts and shall be permitted to open and maintain other deposit accounts as reasonably necessary in the conduct of their business for the deposit of cash. SECTION 5.14 Additional Collateral; Further Assurances. (a) Subject to applicable Requirements of Law, each Loan Party will cause each of its Subsidiaries formed or acquired after the date of this Agreement to become a Loan Party by executing a Joinder Agreement.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 (b) Each Loan Party will cause 100% of the issued and outstanding Equity Interests of each of its Subsidiaries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 (c) The Borrowers will cause Holdings to pledge and grant a first priority, perfected Lien in favor of the Administrative Agent, for the benefit of the Administrative Agent and the other Secured Parties, in 100% of the issued and outstanding Equity Interests of the Borrowers. (d) 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85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6"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Liens created or intended to be created by the Collateral Documents, all in form and substance reasonably satisfactory to the Administrative Agent and all at the expense of the Loan Parties. (e) If any material assets that are not Excluded Assets (as defined in the Security Agreement) are acquired by any Loan Party after the Effective Date (other than assets constituting Collateral under the Security Agreement that become subject to the Lien under the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 (d) of this Section, all at the expense of the Loan Parties. SECTION 5.15 Post-Closing Obligations. Each Loan Party shall take each of the actions and deliver each of the documents, instruments, agreements and other information described on Schedule 5.15 hereto on or before the date set forth thereon (or such later date as the Administrative Agent may agree to in its sole discretion), in each case, in form and substance reasonably satisfactory to the Administrative Agent. ARTICLE VI NEGATIVE COVENANTS Until all of the Secured Obligations shall have been Paid in Full, each Loan Party covenants and agrees, jointly and severally with all of the other Loan Parties, with the Lenders that: SECTION 6.01 Indebtedness. No Loan Party will, nor will it permit any Subsidiary to, create, incur, assume or suffer to exist any Indebtedness, except: (a) the Secured Obligations; (b) Indebtedness existing on the date hereof and set forth in Schedule 6.01 and any extensions, renewals, refinancings and replacements of any such Indebtedness in accordance with clause (f) hereof; (c) Indebtedness of any Borrower to any Subsidiary and of any Subsidiary to any Borrower or any other Subsidiary, provided that (i) Indebtedness of any Subsidiary that is not a Loan Party to any Borrower or any other Loan Party shall be subject to Section 6.04 and (ii) Indebtedness of any Loan Party to any Subsidiary that is not a Loan Party shall be subordinated to the Secured Obligations on terms reasonably satisfactory to the Administrative Agent; (d) Guarantees by any Borrower of Indebtedness of any Subsidiary and by any Subsidiary of Indebtedness of any Borrower or any other Subsidiary, provided that (i) the Indebtedness so Guaranteed is permitted by this Section 6.01, (ii) Guarantees by any Borrower or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 (e) Indebtedness of any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86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67"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extensions, renewals and replacements of any such Indebtedness in accordance with clause (f) below; provided that (i) such Indebtedness is incurred prior to or within 90 days after such acquisition or the completion of such construction or improvement, (ii) the aggregate principal amount of Capital Lease Obligations permitted by this clause (e) (other than Capital Lease Obligations with respect to leases of real property), together with any Refinance Indebtedness in respect thereof permitted by clause (f) below, shall not exceed $25,000,000 at any time outstanding and (iii) the aggregate principal amount of other Indebtedness permitted by this clause (e) (other than, for the avoidance of doubt, Capital Lease Obligations with respect to leases of real property), together with any Refinance Indebtedness in respect thereof permitted by clause (f) below, shall not exceed $40,000,000 at any time outstanding; (f) Indebtedness which represents extensions, renewals, refinancing or replacements (such Indebtedness being so extended, renewed, refinanced or replaced being referred to herein as the “Refinance Indebtedness”) of any of the Indebtedness described in clauses (b) and (e) hereof (such Indebtedness being referred to herein as the “Original Indebtedness”); provided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 (g)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(h) Indebtedness of any Loan Party in respect of performance bonds, bid bonds, appeal bonds, surety bonds and similar obligations, in each case provided in the ordinary course of business, including Indebtedness in respect of letters of credit, bank guarantees and similar instruments to support the issuance thereof; (i) Guarantees and other contingent Indebtedness by any Borrower or any Subsidiary arising under indemnity agreements to title insurers to cause such title insurers to issue title insurance policies and arising with respect to customary indemnification obligations in favor of sellers in connection with Permitted Acquisitions and purchasers in connection with Dispositions permitted hereunder; and (j) other unsecured Indebtedness in an aggregate principal amount not exceeding $40,000,000 at any time outstanding; (k) Indebtedness in the form of an intercompany loan from Public Parent to Holdings; provided that any Indebtedness incurred pursuant to this clause (k) shall be subordinated to the Secured Obligations on terms reasonably satisfactory to the Administrative Agent; and (l) solely to the extent constituting or otherwise deemed to be Indebtedness, obligations under each Permitted Supplier Financing in an aggregate amount not exceeding $50,000,000 at any time outstanding. 87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8"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6.02 Liens. No Loan Party will, nor will it permit any Subsidiary to, create, incur, assume or permit to exist any Lien on any property or asset now owned or hereafter acquired by it, or assign or sell any income or revenues (including Accounts) or rights in respect of any thereof, except: (a) Liens created pursuant to any Loan Document; (b) Permitted Encumbrances; (c) any Lien on any property or asset of any Borrower or any Subsidiary existing on the date hereof and set forth in Schedule 6.02, including replacement Liens on the property currently subject to such Liens securing Indebtedness permitted by Section 6.01(b); provided that (i) such Lien shall not apply to any other property or asset of such Borrower or Subsidiary or any other Loan Party or Subsidiary and (ii) such Lien shall secure only those obligations which it secures on the date hereof and extensions, renewals and replacements thereof that do not increase the outstanding principal amount thereof; (d) Liens on fixed or capital assets acquired, constructed or improved by any Borrower or any Subsidiary; provided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any Borrower or any Subsidiary; (e) any Lien existing on any property or asset (other than Accounts and Inventory) prior to the acquisition thereof by any Borrower or any Subsidiary or existing on any property or asset (other than Accounts and Inventory) of any Person that becomes a Loan Party after the date hereof prior to the time such Person becomes a Loan Party; provided that (i) such Lien is not created in contemplation of or in connection with such acquisition or such Person becoming a Loan Party, as the case may be, (ii) such Lien shall not apply to any other property or assets of such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 (f) Liens of a collecting bank arising in the ordinary course of business under Section 4-210 of the UCC in effect in the relevant jurisdiction covering only the items being collected upon; (g) Liens arising out of Sale and Leaseback Transactions permitted by Section 6.06; (h) Liens granted by a Subsidiary that is not a Loan Party in favor of a Borrower or another Loan Party in respect of Indebtedness owed by such Subsidiary; (i) Liens (including the right of set-off) in favor of a bank or other depository institution arising as a matter of law encumbering deposits; (j) any encumbrance of a lessor, licensor, or sublessor under any lease, license, or sublease entered into by any Borrower or any Subsidiary in the ordinary course of business; (k) leases, subleases, licenses, or sublicenses granted to third parties or to Affiliates in the ordinary course of business, or rights reserved to or vested in any Person pursuant to the terms of any lease, license, franchise, grant, or permit held by any Borrower or any Subsidiary which do not (i) 88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69"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interfere in any material respect with the business of any Borrower or any Subsidiary or (ii) secure any Indebtedness; (l) Liens granted to any payment processor in connection with any settlement account or reserve account established pursuant to an agreement with a payment processor for the purpose of processing payment card or payment application transactions; and (m) any right to receive settlement on card or payment application transactions conducted with any Borrower or any Subsidiary and its customers; provided that no Liens permitted under this Section 6.02 (other than those permitted by paragraphs (a) and (b) above) shall exist on (i) any owned real property of any Loan Party or any Subsidiary or (ii) any aircraft, engines or related aircraft property of any Loan Party or any Subsidiary. SECTION 6.03 Fundamental Changes. (a) No Loan Party will, nor will it permit any Subsidiary to, merge into or consolidate with any other Person, or permit any other Person to merge into or consolidate with it, or otherwise Dispose of all or substantially all of its assets, or all or substantially all of the Equity Interests of any of its Subsidiaries (in each case, whether now owned or hereafter acquired), or liquidate or dissolve, except that, if at the time thereof and immediately after giving effect thereto no Event of Default shall have occurred and be continuing, (i) any Subsidiary of any Borrower may merge into a Borrower in a transaction in which a Borrower is the surviving entity, (ii) any Loan Party (other than any Borrower) may merge into any other Loan Party in a transaction in which the surviving entity is a Loan Party, and (iii) any Subsidiary that is not a Loan Party may liquidate or dissolve if the Borrowers determine in good faith that such liquidation or dissolution is in the best interests of the Borrowers and is not materially disadvantageous to the Lenders; provided that any such merger involving a Person that is not a wholly owned Subsidiary immediately prior to such merger shall not be permitted unless also permitted by Section 6.04. (b) No Loan Party will, nor will it permit any Subsidiary to, consummate a Division as the Dividing Person, without the prior written consent of the Administrative Agent. Without limiting the foregoing, if any Loan Party that is a limited liability company consummates a Division (with or without the prior written consent of the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 (c) No Loan Party will, nor will it permit any Subsidiary to, engage in any business other than businesses of the type conducted by the Borrowers and their Subsidiaries on the date hereof and businesses reasonably related thereto. (d) Holdings will not engage in any business or activity other than the ownership of all of the outstanding Equity Interests of the Borrowers and activities incidental thereto. Holdings will not own or acquire any assets (other than Equity Interests of the Borrowers and the cash proceeds of any Restricted Payments permitted by Section 6.08) or incur any liabilities (other than liabilities under the Loan Documents and liabilities reasonably incurred in connection with its maintenance of its existence). (e) No Loan Party will, nor will it permit any Subsidiary to, change its fiscal year or any fiscal quarter from the basis in effect on the Effective Date. 89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0"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 No Loan Party will change the accounting basis upon which its financial statements are prepared. (g) No Loan Party will change the tax filing elections it has made under the Code. SECTION 6.04 Investments, Loans, Advances, Guarantees and Acquisitions. No Loan Party will, nor will it permit any Subsidiary to, form any subsidiary after the Effective Date, or purchase, hold or acquire (including pursuant to any merger with any Person that was not a Loan Party and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 (a) Permitted Investments; (b) investments in existence on the date hereof and described in Schedule 6.04; (c) investments by Holdings in the Borrowers and by the Borrowers and the Subsidiaries in Equity Interests in their respective Subsidiaries, provided that (i) any such Equity Interests held by a Loan Party shall be pledged pursuant to the Security Agreement and (ii) the aggregate amount of investments by Loan Parties in Subsidiaries that are not Loan Parties (together with outstanding intercompany loans permitted under clause (ii) to the proviso to Section 6.04(d) and outstanding Guarantees permitted under the proviso to Section 6.04(e)) shall not exceed $5,000,000 at any time outstanding (in each case determined without regard to any write-downs or write-offs); (d) loans or advances made by any Loan Party to any Subsidiary and made by any Subsidiary to a Loan Party or any other Subsidiary, provided that (i) any such loans and advances made by a Loan Party shall be evidenced by a promissory note pledged pursuant to the Security Agreement and (ii) the amount of such loans and advances made by Loan Parties to Subsidiaries that are not Loan Parties (together with outstanding investments permitted under clause (ii) to the proviso to Section 6.04(c) and outstanding Guarantees permitted under the proviso to Section 6.04(e)) shall not exceed $5,000,000 at any time outstanding (in each case determined without regard to any write-downs or write-offs); (e) Guarantees constituting Indebtedness permitted by Section 6.01, provided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$5,000,000 at any time outstanding (in each case determined without regard to any write-downs or write-offs); (f) loans or advances made by a Loan Party to its employees on an arms-length basis in the ordinary course of business consistent with past practices for travel and entertainment expenses, relocation costs and similar purposes up to a maximum of $1,000,000 in the aggregate at any one time outstanding; (g) notes payable, or stock or other securities issued by Account Debtors to a Loan Party pursuant to negotiated agreements with respect to settlement of such Account Debtor’s Accounts in the ordinary course of business, consistent with past practices; 90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71"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(h) investments in the form of Swap Agreements permitted by Section 6.07; (i) investments of any Person existing at the time such Person becomes a Subsidiary of a Loan Party or consolidates or merges with a Borrower or any Subsidiary (including in connection with a Permitted Acquisition), so long as such investments were not made in contemplation of such Person becoming a Subsidiary or of such merger; (j) investments received in connection with the disposition of assets permitted by Section 6.05; (k) investments constituting deposits described in clauses (c) and (d) of the definition of the term “Permitted Encumbrances”; (l) Permitted Acquisitions; (m) unsecured Guarantees made in the ordinary course of business of any lease or license that is leased, subleased or sublicensed to (i) another Loan Party or (ii) a franchisee; provided that the aggregate principal amount of Guarantees made pursuant to this clause (m)(ii) shall not exceed $10,000,000 at any time outstanding; and (n) investments in the form of intercompany loans from Holdings to Public Parent in lieu of Permitted Tax Distributions; provided that the aggregate principal amount of loans made by Holdings pursuant to this clause (n) plus the amount of Restricted Payments made by Holdings pursuant to Section 6.08(a)(iv) in any quarterly or annual period shall not exceed the amount of Permitted Tax Distributions for such quarterly or annual period. SECTION 6.05 Asset Sales. No Loan Party will, nor will it permit any Subsidiary to, Dispose of any asset, including any Equity Interest owned by it, nor will any Loan Party permit any Subsidiary to issue any additional Equity Interest in such Subsidiary (other than to another Loan Party or another Subsidiary in compliance with Section 6.04), except: (a) Dispositions of (i) Inventory in the ordinary course of business and (ii) used, obsolete, worn out or surplus Equipment or property in the ordinary course of business; (b) Dispositions of assets to any Borrower or any Subsidiary, provided that any such sales, transfers or dispositions involving a Subsidiary that is not a Loan Party shall be made in compliance with Section 6.09; (c) Dispositions of Accounts (excluding sales or dispositions in a factoring arrangement) in connection with the compromise, settlement or collection thereof; (d) Dispositions of Permitted Investments and other investments permitted by clauses (i) and (k) of Section 6.04; (e) Sale and Leaseback Transactions permitted by Section 6.06; (f) Dispositions resulting from any casualty or other insured damage to, or any taking under power of eminent domain or by condemnation or similar proceeding of, any property or asset of any Loan Party or any Subsidiary; 91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2"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(g) refranchising of a franchise previously acquired by any Borrower or Subsidiary pursuant to a Permitted Acquisition; (h) any issuance of new franchise agreements or termination, non-renewal, expiration, amendment, extension, or other modification of franchise agreements or development agreements with franchisees; (i) Dispositions of assets (other than Equity Interests in a Subsidiary unless all Equity Interests in such Subsidiary are sold) that are not permitted by any other clause of this Section, provided that the aggregate fair market value of all assets Disposed of in reliance upon this paragraph (i) shall not exceed $15,000,000 during any fiscal year of Holdings; (j) licenses, sublicenses, leases or subleases granted by any Borrower or Subsidiary in the ordinary course of business not interfering in any material respect with the business of any Borrower or any Subsidiary; (k) the non-exclusive licensing of Intellectual Property in the ordinary course of business or in accordance with industry practice; and (l) Restricted Payments permitted pursuant to Section 6.08; provided that all Dispositions permitted under this Section 6.05 (other than those permitted by paragraphs (b), (d), (f), (h), (i) and (l) above) shall be made for fair market value and for at least 75% cash consideration. SECTION 6.06 Sale and Leaseback Transactions.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“Sale and Leaseback Transaction”), except for any such sale of any fixed or capital assets by any Borrower or any Subsidiary that is made for cash consideration in an amount not less than the fair value of such fixed or capital asset and is consummated within one hundred eighty (180) days after such Borrower or such Subsidiary acquires or completes the construction of such fixed or capital asset. SECTION 6.07 Swap Agreements. No Loan Party will, nor will it permit any Subsidiary to, enter into any Swap Agreement, except (a) Swap Agreements entered into to hedge or mitigate risks to which any Borrower or any Subsidiary has actual exposure (other than those in respect of Equity Interests of any Borrower or any Subsidiary),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 SECTION 6.08 Restricted Payments; Certain Payments of Indebtedness. (a) No Loan Party will, nor will it permit any Subsidiary to, declare or make, or agree to declare or make, directly or indirectly, any Restricted Payment, or incur any obligation (contingent or otherwise) to do so, except (i) each of the Borrowers may declare and pay dividends with respect to its Qualified Stock payable solely in additional shares of its Qualified Stock, and, with respect to its Disqualified Stock, payable solely in additional shares of such Disqualified Stock (to the extent permitted under Section 6.01) or in shares of its Qualified Stock, (ii) Subsidiaries may declare and pay dividends 92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73"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ratably with respect to their Qualified Stock, (iii) the Borrowers and Holdings may make Restricted Payments, not exceeding $5,000,000 during any fiscal year of Holdings, pursuant to and in accordance with stock option plans or other benefit plans for management or employees of the Loan Parties and their Subsidiaries, (iv) Permitted Tax Distributions; provided that the aggregate principal amount of Restricted Payments made by Holdings pursuant to this clause (iv) plus the amount loans made by Holdings to Public Parent pursuant to Section 6.04(n) in any period shall not exceed the amount of Permitted Tax Distributions for such quarterly or annual period, and (v) other Restricted Payments so long as (A) no Default has occurred and is continuing or would result therefrom and (B) at the time of making and immediately after giving effect to such Restricted Payment, the Loan Parties are in compliance with the covenant contained in Section 6.12(b) and the Net Lease-Adjusted Total Leverage Ratio is equal to or less than 3.00 to 1.00, in each case, calculated on a pro forma basis for the four consecutive fiscal quarters ending on the last day of the most recently ended fiscal quarter for which financial statements have been delivered to the Administrative Agent pursuant to Section 5.01(b). (b) 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 (i) payment of Indebtedness created under the Loan Documents; (ii) payment of regularly scheduled interest and principal payments as and when due in respect of any Indebtedness permitted under Section 6.01, other than payments in respect of Subordinated Indebtedness prohibited by the subordination provisions thereof; (iii) refinancings of Indebtedness to the extent permitted by Section 6.01; and (iv) payment of secured Indebtedness that becomes due as a result of the voluntary sale or transfer of the property or assets securing such Indebtedness to the extent such sale or transfer is permitted by the terms of Section 6.05. SECTION 6.09 Transactions with Affiliates.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Loan Parties not involving any other Affiliate, (c) any investment permitted by Section 6.04(c) or 6.04(d), (d) any Indebtedness permitted under Section 6.01(c) or 6.01(d), (e) any Restricted Payment permitted by Section 6.08, (f) loans or advances to employees permitted under Section 6.04(f), (g) the payment of reasonable fees to directors of any Loan Party or any Subsidiary who are not employees of such Loan Party or any Subsidiary, and compensation and employee benefit arrangements paid to, and indemnities provided for the benefit of, directors, officers or employees of the Loan Parties or their Subsidiaries in the ordinary course of business, (h) any issuances of securities or other payments, awards or grants in cash, securities or otherwise pursuant to, or the funding of, employment agreements, stock options and stock ownership plans approved by a Borrower’s board of directors, and (i) transactions existing on the date hereof and set forth on Schedule 3.24. 93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74"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6.10 Restrictive Agreements.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Equity Interests or to make or repay loans or advances to any Borrower or any other Subsidiary or to Guarantee Indebtedness of any Borrower or any other Subsidiary; provided that (i) the foregoing shall not apply to restrictions and conditions imposed by any Requirement of Law or by any Loan Document,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 SECTION 6.11 Amendment of Material Documents. No Loan Party will, nor will it permit any Subsidiary to, amend, modify or waive any of its rights under (a) any agreement relating to any Subordinated Indebtedness or (b) its charter, articles or certificate of organization or incorporation and bylaws or operating, management or partnership agreement, or other organizational or governing documents, to the extent any such amendment, modification or waiver would be adverse to the Lenders. SECTION 6.12 Financial Covenants. (a) Maximum Net Lease-Adjusted Total Leverage Ratio. The Loan Parties will not permit the Net Lease-Adjusted Total Leverage Ratio, for any period of four consecutive fiscal quarters ending on the last day of any fiscal quarter set forth below, commencing with the fiscal quarter ending June 30, 2025, to be greater than 5.25 to 1.00; provided, that, in connection with any Permitted Acquisition having aggregate cash consideration (including cash, Cash Equivalents and other deferred payment obligations) in excess of $50,000,000, the Borrower Representative may, at its election, in connection with such Permitted Acquisition and upon prior written notice to the Administrative Agent, increase the required Maximum Net Lease-Adjusted Total Leverage Ratio to 5.75 to 1.00, which such increase shall be applicable for the fiscal quarter in which such Permitted Acquisition is consummated and the immediately following quarterly test period thereafter (each, a “Maximum Net Lease-Adjusted Total Leverage Ratio Increase”); provided further that, (i) such increase shall apply solely with respect to compliance with the Maximum Net Lease-Adjusted Total Leverage Ratio and any determination of the Maximum Net Lease-Adjusted Total Leverage Ratio for purposes of the definition of Permitted Acquisition and any incurrence test with respect to any Indebtedness used to finance a Permitted Acquisition and shall not apply to any other incurrence test set forth in this Agreement, (ii) there shall be at least two (2) full fiscal quarters following the cessation of each such Maximum Net Lease-Adjusted Total Leverage Ratio Increase during which no Maximum Net Lease-Adjusted Total Leverage Ratio Increase shall then be in effect and (iii) the Borrower Representative shall elect no more than three (3) Maximum Net Lease-Adjusted Total Leverage Ratio Increases. (b) Minimum Coverage Ratio. The Loan Parties will not permit the Coverage Ratio, for any period of four consecutive fiscal quarters ending on the last day of any fiscal quarter, commencing with the fiscal quarter ending June 30, 2025, to be less than 1.75 to 1.00. 94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75"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6.13 Outbound Investment Rules. No Loan Party will, nor will it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any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 ARTICLE VII EVENTS OF DEFAULT SECTION 7.01 Events of Default. If any of the following events (“Events of Default”) shall occur: (a) the Borrowers shall fail to pay any principal of any Loan or any reimbursement obligation in respect of any LC Disbursement when and as the same shall become due and payable, whether at the due date thereof or at a date fixed for prepayment thereof or otherwise; (b) the Borrowers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 (c) 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 (d) any Loan Party shall fail to observe or perform any covenant, condition or agreement contained in Section 5.02(a), 5.03 (with respect to a Loan Party’s existence), 5.08, or 5.15 or in Article VI; (e) any Loan Party shall fail to observe or perform any covenant, condition or agreement contained in this Agreement (other than those specified in clause (a), (b) or (d)), and such failure shall continue unremedied for a period of (i) ten (10) days after the earlier of knowledge of any Responsible Officer of any Loan Party of such breach or notice thereof from the Administrative Agent (which notice will be given at the request of any Lender) if such breach relates to terms or provisions of Section 5.01 or (ii) thirty (30) days after the earlier of knowledge of any Responsible Officer of any Loan Party of such breach or notice thereof from the Administrative Agent (which notice will be given at the request of any Lender) if such breach relates to terms or provisions of any other Section of this Agreement; provided that, if such failure is within the reasonable power of such Loan Party to cure after knowledge of such Responsible Officer of such Loan Party of such breach or notice thereof from the Administrative Agent, as applicable, then such failure shall not constitute an Event of Default if during such 30-day period, such Loan Party begins to cure the failure and then diligently pursues the cure to completion, except that in no event will the cure period under this clause (e) exceed sixty (60) days from the date such Responsible 95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6"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Officer of such Loan Party has knowledge of such breach or receipt of such notice from the Administrative Agent, as applicable; (f) (i) any Loan Party or any Subsidiary shall fail to make any payment (whether of principal or interest and regardless of amount) in respect of any Material Indebtedness, when and as the same shall become due and payable, or (ii) any other event or condition occurs that results in any default under any Material Indebtedness and, in each case of clauses (i) and (ii), such failure or default continues after any applicable grace or notice period thereunder and the effect of such failure or default is that such Material Indebtedness becomes due before its stated maturity or the holder or holders of such Material Indebtedness (or any trustee or agent on its or their behalf) are allowed to declare such Material Indebtedness due, or to require the prepayment, repurchase, redemption or defeasance of such Material Indebtedness, before its stated maturity; (g) [reserved]; (h) 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or for a substantial part of its assets, and, in any such case, such proceeding or petition shall continue undismissed for sixty (60) days or an order or decree approving or ordering any of the foregoing shall be entered; (i) any Loan Party or any Subsidiary (other than an Immaterial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(other than an Immaterial Subsidiary) of any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 (j) any Loan Party or any Subsidiary (other than an Immaterial Subsidiary) shall become unable, admit in writing its inability, or publicly declare its intention not to, or fail generally, to pay its debts as they become due; (k) one or more judgments for the payment of money in an aggregate amount in excess of $10,000,000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any Subsidiary to enforce any such judgment or any Loan Party or any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 96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77"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 an ERISA Event shall have occurred that, in the opinion of the Required Lenders, when taken together with all other ERISA Events that have occurred, could reasonably be expected to result in a Material Adverse Effect; (m) a Change in Control shall occur; (n) the occurrence of any “default”, as defined in any Loan Document (other than this Agreement), or the breach of any of the terms or provisions of any Loan Document (other than this Agreement), which default or breach continues beyond any period of grace therein provided; (o) the Loan Guaranty shall fail to remain in full force or effect or any action shall be taken to discontinue or to assert the invalidity or unenforceability of the Loan Guaranty, or any Loan Guarantor shall fail to comply with any of the terms or provisions of the Loan Guaranty, or any Loan Guarantor shall deny that it has any further liability under the Loan Guaranty, or shall give notice to such effect, including, but not limited to, notice of termination delivered pursuant to Section 10.08; (p) 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 (q) any Collateral Document shall fail to remain in full force or effect or any action shall be taken to discontinue or to assert the invalidity or unenforceability of any Collateral Document; or (r) 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other than as a result of acts or omissions by the Administrative Agent or any Lender or upon the occurrence of Payment in Full; SECTION 7.02 Remedies Upon an Event of DefaultIf an Event of Default occurs, then, and in every such event (other than an event with respect to a Borrower described in Sections 7.01(h) or (i)), and at any time thereafter during the continuance of such event, the Administrative Agent may, and at the request of the Required Lenders shall, by notice to the Borrower Representative, take any or all of the following actions, at the same or different times: (a) terminate the Commitments (including the Swingline Commitment), whereupon the Commitments shall terminate immediately, (b)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Borrowers accrued hereunder and under any other Loan Document shall become due and payable immediately, in each case without presentment, demand, protest or other notice of any kind, all of which are hereby waived by the Borrowers, (c) require that the Borrowers provide cash collateral for the LC Exposure in accordance with Section 2.06(j) hereof, and (d) exercise on behalf of itself, the Lenders and the Issuing Banks all rights and remedies available to it, the Lenders and the Issuing Banks under the Loan Documents and applicable law. If an Event of Default described in Sections 7.01(h) or (i) occurs with respect to any Borrower, the Commitments (including the Swingline Commitment), shall automatically terminate and the principal of the Loans then outstanding, and cash collateral for the LC Exposure, together with accrued interest thereon and all fees (including, for the avoidance of doubt, any break funding payments) 97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78"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and other obligations of the Borrowers accrued hereunder and under any other Loan Document,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 ARTICLE VIII THE ADMINISTRATIVE AGENT SECTION 8.01 Authorization and Action. (a) 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98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79"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for believing that repayment of such funds or adequate indemnity against such risk or liability is not reasonably assured to it. (c)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 Without limiting the generality of the foregoing: (i) the Administrative Agent does not assume and shall not be deemed to have assumed any obligation or duty or any other relationship as the agent, fiduciary or trustee of or for any Lender, any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 (ii) nothing in this Agreement or any Loan Document shall require the Administrative Agent to account to any Lender for any sum or the profit element of any sum received by the Administrative Agent for its own account. (d)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(e) The Arrangers, syndication agent and co-documentation agents shall have no obligations or duties whatsoever in such capacity under this Agreement or any other Loan Document and shall incur no liability hereunder or thereunder in such capacity, but all such persons shall have the benefit of the indemnities provided for hereunder. (f)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99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0"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demand on the Borrowers) shall be entitled and empowered (but not obligated) by intervention in such proceeding or otherwise: (i)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 (ii)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 (g) The provisions of this Article are solely for the benefit of the Administrative Agent, the Lenders and the Issuing Banks, and, except solely to the extent of the Borrowers’ rights to consent pursuant to and subject to the conditions set forth in this Article, none of the Borrowers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 SECTION 8.02 Administrative Agent’s Reliance, Limitation of Liability, Etc.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100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81"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Representative, or (ii) notice of any Default or Event of Default unless and until written notice thereof (stating that it is a “notice of Default” or a “notice of an Event of Default”) is given to the Administrative Agent by the Borrowers,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Liability, cost or expense suffered by the Borrower, any other Loan Party, any Subsidiary, any Lender or the Issuing Bank as a result of, any determination of any Credit Exposure, any of the component amounts thereof or any portion thereof attributable to each Lender or the Issuing Bank. (c)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SECTION 8.03 Posting of Communications. (a) Each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“Approved Electronic Platform”). 101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82"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OTHER AGENT OR ANY OF THEIR RESPECTIVE RELATED PARTIES (COLLECTIVELY,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 (d)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(e) Each of the Lenders, each of the Issuing Banks and each Borrower agrees that the Administrative Agent may, but (except as may be required by applicable law) shall not be obligated to, 102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83"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store the Communications on the Approved Electronic Platform in accordance with the Administrative Agent’s generally applicable document retention procedures and policies. (f) Nothing herein shall prejudice the right of the Administrative Agent, any Lender or any Issuing Bank to give any notice or other communication pursuant to any Loan Document in any other manner specified in such Loan Document. SECTION 8.04 The Administrative Agent Individually.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 SECTION 8.05 Successor Administrative Agent. (a) The Administrative Agent may resign at any time by giving thirty (30) days’ prior written notice thereof to the Lenders, the Issuing Banks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Representative (which approval may not be unreasonably withheld, conditioned or delayed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Representative,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103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84"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 SECTION 8.06 Acknowledgements of Lenders and Issuing Banks. (a)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 (b)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104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85"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effective date of any such Assignment and Assumption or any other Loan Document pursuant to which it shall have become a Lender hereunder. (c)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 (ii)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(iii) Each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(iv) Each party’s obligations under this Section 8.06(c) shall survive the resignation or replacement of the Administrative Agent or any transfer of rights or obligations by, or the 105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86"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replacement of, a Lender, the termination of the Commitments or the repayment, satisfaction or discharge of all Obligations under any Loan Document. (d) 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Borrowers,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 SECTION 8.07 Collateral Matters. (a)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106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87"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6.02(d).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SECTION 8.08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107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88"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8.09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any Borrower or any other Loan Party, that at least one of the following is and will be true: (i) such Lender is not using “plan assets” (within the meaning of the Plan Asset Regulations) of one or more Benefit Plans in connection with the Loans, the Letters of Credit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any Borrower or any other Loan Party, that none of the Administrative Agent or the Arrangers or any of their respective Affiliates is a fiduciary with 108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89"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respect to the Collateral or the assets of such Lender (including in connection with the reservation or exercise of any rights by the Administrative Agent under this Agreement, any other Loan Document or any documents related hereto or thereto). (c) The Administrative Agent and the Arrangers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SECTION 8.10 Borrower Communications.(a) The Administrative Agent, the Lenders and the Issuing Banks agree that, pursuant to procedures approved by the Administrative Agent, the Borrowers may, but shall not be obligated to, make any Borrower Communications to the Administrative Agent through an electronic platform chosen by the Administrative Agent to be its electronic transmission system (the “Approved Borrower Portal”). As used in this Section 8.10, “Borrower Communications”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 in each case to the extent arrangements for doing so have been approved by the Administrative Agent. (b)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Lender, each Issuing Bank, and each Borrower acknowledges and agrees that (i) the distribution of material through an electronic medium is not necessarily secure, (ii) the Administrative Agent is not responsible for approving or vetting administrators, representatives, or contacts of the Borrowers added to the Approved Borrower Portal, and (iii) there may be confidentiality and other risks associated with such distribution. Each Lender, each Issuing Bank, and each Borrower hereby approves distribution of Borrower Communications through the Approved Borrower Portal and understands and assumes the risks of such distribution. (c)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109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0"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(d) Each Lender, each Issuing Bank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(e) Nothing herein shall prejudice the right of the Borrowers to give any notice or other communication pursuant to any Loan Document in any other manner specified in such Loan Document. ARTICLE IX MISCELLANEOUS SECTION 9.01 Notices. (a) Except in the case of notices and other communications expressly permitted to be given by telephone Electronic System or the Approved Borrower Portal (and subject in each case to paragraph (b) below), all notices and other communications provided for herein shall be in writing and shall be delivered by hand or overnight courier service, mailed by certified or registered mail or sent by fax or email, as follows: (i) if to any Loan Party, to it in care of the Borrower Representative at: Dutch Bros., LLC 300 North Valley Dr. Grants Pass, OR 97526 Attention: Joshua Guenser, Chief Financial Officer, Paddy Warren, Senior Director of Investor Relations and Capital Markets, and Victoria Tullett, Chief Legal Officer Fax No: (541) 471-0330 Email: josh.guenser@dutchbros.com, paddy.warren@dutchbros.com and victoria.tullett@dutchbros.com (ii) if from any Loan Party to the Administrative Agent or Chase in its capacity as the Issuing Bank or the Swingline Lender, the address or addresses separately provided to such Loan Party by the Administrative Agent from time to time; (iii) if from any Lender to the Administrative Agent or Chase in its capacity as the Issuing Bank or the Swingline Lender, at the address separately provided to the Lenders by the Administrative Agent from time to time; (iv) if to an Issuing Bank or Swingline Lender, to it at its address separately provided to the Borrowers; and 110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1"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(v) if to any other Lender, to it at its address, fax number or email set forth in its Administrative Questionnaire. All such notices and other communications (i) sent by hand or overnight courier service, or mailed by certified or registered mail shall be deemed to have been given when received, (ii) sent by fax shall be deemed to have been given when sent, provided that if not given during normal business hours for the recipient, such notice or communication shall be deemed to have been given at the opening of business on the next Business Day of the recipient, or (iii) delivered through Electronic System, Approved Electronic Platform or Approved Borrower Portal, as applicable, to the extent provided in paragraph (b) below shall be effective as provided in such paragraph. (b) Notices and other communications to the Borrower Representative, any Loan Party, the Lenders, the Administrative Agent and the Issuing Banks hereunder may be delivered or furnished by using Electronic System, Approved Electronic Platform or Approved Borrower Portal, as applicable, and in each case pursuant to procedures approved by the Administrative Agent; provided that the foregoing shall not apply to notices pursuant to Article II or to Compliance Certificates delivered pursuant to Section 5.01(d) unless otherwise agreed by the Administrative Agent and the applicable Lender. Each of the Administrative Agent and the Borrower Representative (on behalf of the Loan Parties) may, in its discretion, agree to accept notices and other communications to it hereunder by using Electronic System, Approved Electronic Platform or Approved Borrower Portal, as applicable, and in each case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 (c) Any party hereto may change its address, facsimile number or e-mail address for notices and other communications hereunder by notice to the other parties hereto. SECTION 9.02 Waivers; Amendments.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111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92"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as a waiver of any Default, regardless of whether the Administrative Agent, any Lender or any Issuing Bank may have had notice or knowledge of such Default at the time. (b) Subject to Section 2.09(g), Section 2.14(c), (d) and (e) and Section 9.02(e) below,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provided that no such agreement shall (A) increase or extend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or under any other Loan Document,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under any other Loan Document, or reduce the amount of, waive or excuse any such payment, or postpone the scheduled date of expiration of any Commitment, without the written consent of each Lender (including any such Lender that is a Defaulting Lender) directly affected thereby, (D) change Section 2.09(e), Section 2.11(d), or Section 2.18(b) or (d) in a manner that would alter the ratable reduction of Commitments, the manner in which payments are shared, or the priority set forth therein, without the written consent of each Lender (other than any Defaulting Lender), (E)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(F) change Section 2.20, without the consent of each Lender (other than any Defaulting Lender), (G) release any Guarantor from its obligation under its Loan Guaranty (except as otherwise permitted herein or in the other Loan Documents, including the Disposition of all or substantially all of the Equity Interests of any Subsidiary Guarantor in a transaction permitted hereunder) without the written consent of each Lender (other than any Defaulting Lender), (H) except as provided in clause (c) of this Section or in any Collateral Document, release all or substantially all of the Collateral without the written consent of each Lender (other than any Defaulting Lender), or (I) subordinate the Obligations, or the Liens granted under the Loan Documents, to any other Indebtedness or Lien (including, without limitation, any other Indebtedness or Lien issued under this Agreement or any other agreement), except as expressly permitted under Section 8.07(c), without the written consent of each Lender; provided, further, that no such agreement shall amend, modify or otherwise affect the rights or duties of the Administrative Agent, the Swingline Lender or the Issuing Banks hereunder without the prior written consent of the Administrative Agent, the Swingline Lender or the Issuing Banks, as the case may be (it being understood that any amendment to Section 2.20 shall require the consent of the Administrative Agent, the Swingline Lender and the Issuing Banks); provided, further, that no such agreement shall amend or modify the provisions of Section 2.06 without the prior written consent of the Administrative Agent and the Issuing Banks. The Administrative Agent may also amend the Commitment Schedule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112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93"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required to consent thereto under this Section if such Class of Lenders were the only Class of Lenders hereunder at the time. (c) The Lenders and the Issuing Banks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provided by such Subsidiary; provided that a certificate shall not be required for dispositions permitted pursuant to Sections 6.05(a), (c), (f), (g), (i) (if the fair market value of the assets being disposed of is less than $5,000,000) or (l),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representation, warranty or covenant contained in any Loan Document relating to any such released Collateral shall no longer be deemed to be made once such Collateral is so released. Except as provided in the preceding sentence, the Administrative Agent will not release any Liens on Collateral without the prior written authorization of the Required Lenders; provided that the Administrative Agent may, in its discretion, release its Liens on Collateral valued in the aggregate not in excess of $5,000,000 during any calendar year without the prior written authorization of the Required Lenders (it being agreed that the Administrative Agent may rely conclusively on one or more certificates of the Borrower Representative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“Non-Consenting Lender”), then the Borrowers may elect to replace a Non-Consenting Lender as a Lender party to this Agreement, provided that, concurrently with such replacement, (i) another bank or other entity which is reasonably satisfactory to the Borrowers, the Administrative Agent and, to the extent involving the assignment or transfer of any Revolving Commitment, the Swingline Lender and the Issuing Banks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such replacement Lender agrees to the applicable proposed amendment, restatement, supplement, modification, waiver or consent and (iii)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113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94"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replacement Lender.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(e) Notwithstanding anything to the contrary herein the Administrative Agent may, with the consent of the Borrower Representative only, amend, modify or supplement this Agreement or any of the other Loan Documents to cure any ambiguity, omission, mistake, defect or inconsistency. SECTION 9.03 Expenses; Limitation of Liability; Indemnity; Etc. (a) Expenses. The Loan Parties, jointly and severally, shall pay all (i) reasonable and documented out of pocket expenses incurred by the Administrative Agent and its Affiliates, including the reasonable fees, charges and disbursements of counsel for the Administrative Agent, in connection with the syndication and distribution (including, without limitation, via the internet or through an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documented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documented out-of-pocket expenses incurred during any workout, restructuring or negotiations in respect of such Loans or Letters of Credit; provided that the Loan Parties shall only be liable for expenses of one firm of primary counsel and one firm in each applicable jurisdiction for the Administrative Agent, all Issuing Banks and all Lenders, taken as a whole, and, in the case of an actual or potential conflict of interest, one additional counsel in each applicable jurisdiction for the Administrative Agent, affected Issuing Banks and affected Lenders similarly situated, taken as a whole. Expenses being reimbursed by the Loan Parties under this Section include, without limiting the generality of the foregoing, fees, costs and expenses incurred in connection with: (A) appraisals and insurance reviews; (B) field examinations and the preparation of Reports based on the fees charged by a third party retained by the Administrative Agent or the internally allocated fees for each Person employed by the Administrative Agent with respect to each field examination; (C) background checks regarding senior management and/or key investors, as deemed necessary or appropriate in the sole discretion of the Administrative Agent; 114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95"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 Taxes, fees and other charges for (i) lien and title searches and title insurance, and (ii) filing financing statements and continuations, and other actions to perfect, protect, and continue the Administrative Agent’s Liens; (E) sums paid or incurred to take any action required of any Loan Party under the Loan Documents that such Loan Party fails to pay or take; and (F) forwarding loan proceeds, collecting checks and other items of payment, and establishing and maintaining the accounts and lock boxes, and costs and expenses of preserving and protecting the Collateral. All of the foregoing fees, costs and expenses may be charged to the Borrowers as Revolving Loans or to another deposit account, all as described in Section 2.18(c). (b) Limitation of Liability. To the extent permitted by applicable law (i) neither any Borrower nor any other Loan Party shall assert, and each Borrower and each Loan Party hereby waives, any claim against the Administrative Agent, any Arranger, any Issuing Bank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any Borrower or any other Loan Party of any obligation it may have to indemnify an Indemnitee, as provided in Section 9.03(c), against any special, indirect, consequential or punitive damages asserted against such Indemnitee by a third party. (c) Indemnity. The Loan Parties, jointly and severally, shall indemnify the Administrative Agent, each Arranger, each Issuing Bank and each Lender, and each Related Party of any of the foregoing Persons (each such Person being called an “Indemnitee”)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(ii) the performance by the parties hereto of their respective obligations thereunder or the consummation of the Transactions or any other transactions contemplated hereby, (iii)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a Loan Party or a Subsidiary, or any Environmental Liability related in any way to a Loan Party or a Subsidiary, (v) the failure of a Loan Party to deliver to the Administrative Agent the required receipts or other required documentary evidence with respect to a payment made by such Loan Party for Taxes pursuant to Section 2.17, (vi) any action taken in connection with this Agreement, including, but not limited to, the payment of principal, interest and fees or (vii)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provided that (i) the Loan Parties shall only be liable for expenses of one firm of primary counsel and one firm in each 115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96"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applicable jurisdiction for the Administrative Agent, all Arrangers, all Issuing Banks and all Lenders, taken as a whole, and, in the case of an actual or potential conflict of interest, one additional counsel in each applicable jurisdiction for the Administrative Agent, affected Arrangers, affected Issuing Banks and affected Lenders similarly situated, taken as a whole, and (ii)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(or any of its Related Parties). This Section 9.03(c) shall not apply with respect to Taxes other than any Taxes that represent losses or damages arising from any non-Tax claim. (d) Lender Reimbursement. Each Lender severally agrees to pay any amount required to be paid by any Loan Party under paragraphs (a), (b) or (c) of this Section 9.03 to the Administrative Agent, the Swingline Lender and each Issuing Bank, and each Related Party of any of the foregoing Persons (each, an “Agent-Related Person”)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 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provided that the unreimbursed expense or Liability or related expense, as the case may be, was incurred by or asserted against such Agent-Related Person in its capacity as such; provided, 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in Full of the Secured Obligations. (e) Payments. All amounts due under this Section 9.03 shall be payable promptly after written demand therefor. SECTION 9.04 Successors and Assigns. (a) The provisions of this Agreement shall be binding upon and inure to the benefit of the parties hereto and their respective successors and assigns permitted hereby (including any Affiliate of an Issuing Bank that issues any Letter of Credit), except that (i)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 116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97"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 (A) the Borrower Representative, provided that (x) the Borrower Representative shall be deemed to have consented to an assignment of all or a portion of the Term Loans unless it shall object thereto by written notice to the Administrative Agent within five (5) Business Days after having received notice thereof and (y) the Borrower Representative shall be deemed to have consented to an assignment of all or a portion of the Revolving Loans and Commitments unless it shall object thereto by written notice to the Administrative Agent within ten (10) Business Days after having received notice thereof, and provided, further, that no consent of the Borrower Representative shall be required for an assignment to a Lender, an Affiliate of a Lender, an Approved Fund or, if an Event of Default has occurred and is continuing, any other assignee; (B) the Administrative Agent, provided that no consent of the Administrative Agent shall be required for an assignment of (x) all or any portion of a Term Loan to a Lender, an Affiliate of a Lender or an Approved Fund or (y) all or any portion of the Revolving Loans and the Revolving Commitments to a Revolving Lender, an Affiliate of a Revolving Lender or an Approved Fund of a Revolving Lender; (C) each Issuing Bank; provided that no consent of an Issuing Bank shall be required if (x) an Event of Default occurs with respect to a Borrower under Sections 7.01(h) or (i) and (y) such Issuing Bank has no outstanding Letters of Credit at that time; provided, further, that no consent of the Issuing Banks shall be required for an assignment of all or any portion of a Term Loan; and (D) the Swingline Lender; provided that no consent of a Swingline Lender shall be required if (x) an Event of Default occurs with respect to a Borrower under Sections 7.01(h) or (i) and (y) such Swingline Lender has no outstanding Swingline Loans at that time; provided, further, that no consent of the Swingline Lender shall be required for an assignment of all or any portion of a Term Loan. (ii)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or, in the case of a Term Loan, $1,000,000 unless each of the Borrower Representative and the Administrative Agent otherwise consent (each such consent not to be unreasonably withheld or delayed), provided that no such consent of the Borrower Representative shall be required if an Event of Default has occurred and is continuing; (B) each partial assignment shall be made as an assignment of a proportionate part of all the assigning Lender’s rights and obligations under this Agreement; provided that this clause shall not be construed to prohibit the assignment of a proportionate part 117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98"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of all the assigning Lender’s rights and obligations in respect of one Class of Commitments or Loans; (C)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 (D)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 For the purposes of this Section 9.04(b), the terms “Approved Fund” and “Ineligible Institution” have the following meanings: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“Ineligible Institution” means a (a) natural person, (b) Defaulting Lender or its Lender Parent, (c) holding company, investment vehicle or trust for, or owned and operated for the primary benefit of, a natural person or relative(s) thereof; provided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provided that upon the occurrence and during the continuance of an Event of Default, any such Person (other than a Lender) shall be an Ineligible Institution if after giving effect to any proposed assignment to such Person, such Person would hold more than 25% of the then outstanding Aggregate Credit Exposure or Commitments, as the case may be or (d) a Loan Party or a Subsidiary or other Affiliate of a Loan Party. (iii)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118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99"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(iv)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“Register”).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 (v)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(c) Any Lender may, without the consent of, or notice to, the Borrowers, the Administrative Agent, the Swingline Lender or the Issuing Banks, sell participations to one or more banks or other entities (a “Participant”) other than an Ineligible Institution in all or a portion of such Lender’s rights and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Borrowers, the Administrative Agent, the Issuing Banks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and the information and documentation required under Section 2.17(g) will be delivered to the Borrower Representative and the Administrative Agent)) to the same extent as if it were a Lender and had acquired its interest by assignment pursuant to 119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00"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paragraph (b) of this Section; provided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 SECTION 9.05 Survival.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 120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01"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9.06 Counterparts; Integration; Effectiveness; Electronic Execution.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other Loan Party hereby (A) agrees that, for all purposes, including, without limitation, in connection with any workout, restructuring, enforcement of remedies, bankruptcy proceedings or litigation among the Administrative Agent, the Lenders, the Borrowers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121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02"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 SECTION 9.07 Severability.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SECTION 9.08 Right of Setoff.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Loan Party against any and all of the Secured Obligations owing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applicable Lender, the applicable Issuing Bank or such Affiliate shall notify the Borrower Representative and the Administrative Agent of such setoff or application; provided that any failure to give or any delay in giving such notice shall not affect the validity of any such setoff or application under this Section. The rights of each Lender, each Issuing Bank and their respective Affiliates under this Section are in addition to other rights and remedies (including other rights of setoff) that such Lender, such Issuing Bank or their respective Affiliates may have. SECTION 9.09 Governing Law; Jurisdiction; Consent to Service of Process. (a) The Loan Documents (other than those containing a contrary express choice of law provision) shall be governed by and construed in accordance with the laws of the State of New York, but giving effect to federal laws applicable to national banks. (b) 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 122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03"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 Each of the parties hereto hereby irrevocably and unconditionally submits, for itself and its property, to the exclusive jurisdiction of any U.S. federal or New York state court sitting in the Borough of Manhattan,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any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 (d)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 (e)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 SECTION 9.10 WAIVER OF JURY TRIAL.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SECTION 9.11 Headings. Article and Section headings and the Table of Contents used herein are for convenience of reference only, are not part of this Agreement and shall not affect the construction of, or be taken into consideration in interpreting, this Agreement. 123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04"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9.12 Confidentiality. Each of the Administrative Agent,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and such discloser uses its commercially reasonable efforts to ensure that any such information so disclosed is accorded confidential treatment,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and such discloser uses its commercially reasonable efforts to ensure that any such information so disclosed is accorded confidential treatment,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 and their obligations, (g) with the consent of the Borrower Representative, (h) to holders of Equity Interests in any Borrower, (i) to any Person providing a Guarantee of all or any portion of the Secured Obligations, (j) on a confidential basis to (1) any rating agency in connection with rating any Loan Party or its Subsidiaries or the credit facilities provided for herein or (2) the CUSIP Service Bureau or any similar agency in connection with the issuance and monitoring of identification numbers with respect to the credit facilities provided for herein or (k) to the extent such Information (x) becomes publicly available other than as a result of a breach of this Section or (y) becomes available to the Administrative Agent, any Issuing Bank or any Lender on a non-confidential basis from a source other than the Borrowers not known to the recipient to be bound by confidentiality obligations to the Borrowers. For the purposes of this Section, “Information” means all information received from the Borrowers relating to the Borrowers or their business, other than any such information that is available to the Administrative Agent, any Issuing Bank or any Lender on a non-confidential basis prior to disclosure by the Borrowers and other than information pertaining to this Agreement provided by any Arrangers to data service providers, including league table providers, that serve the lending industry; provided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LENDER ACKNOWLEDGES THAT INFORMATION (AS DEFINED IN THIS SECTION 9.12) FURNISHED TO IT PURSUANT TO THIS AGREEMENT MAY INCLUDE MATERIAL NON-PUBLIC INFORMATION CONCERNING THE BORROWERS,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ALL INFORMATION, INCLUDING REQUESTS FOR WAIVERS AND AMENDMENTS, FURNISHED BY ANY BORROWER OR THE ADMINISTRATIVE AGENT PURSUANT TO, OR IN THE COURSE OF ADMINISTERING, THIS AGREEMENT WILL BE SYNDICATE-LEVEL INFORMATION, WHICH MAY CONTAIN MATERIAL NON-PUBLIC INFORMATION ABOUT 124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05"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BORROWERS,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For the avoidance of doubt, nothing in this Section 9.12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 SECTION 9.13 Several Obligations; Nonreliance; Violation of Law.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any Issuing Bank nor any Lender shall be obligated to extend credit to the Borrowers in violation of any Requirement of Law. SECTION 9.14 USA PATRIOT Act.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 SECTION 9.15 Disclosure. Each Loan Party, each Lender and each Issuing Bank hereby acknowledges and agrees that the Administrative Agent and/or its Affiliates from time to time may hold investments in, make other loans to or have other relationships with, any of the Loan Parties and their respective Affiliates. SECTION 9.16 Appointment for Perfection.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 SECTION 9.17 Interest Rate Limitation.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125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06"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 SECTION 9.18 No Fiduciary Duty, etc.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The Borrowers shall consult with their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 (b) 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the Borrowers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(c)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Borrowers may have conflicting interests regarding the transactions described herein and otherwise. No Credit Party will use confidential information obtained from any Borrower by virtue of the transactions contemplated by the Loan Documents or its other relationships with the Borrowers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 SECTION 9.19 Marketing Consent. The Borrowers hereby authorize Chase and its affiliates (collectively, the “Chase Parties”), at their respective sole expense, and without any prior approval by the Borrowers, to include the Borrowers’ name and logo in advertising, marketing, tombstones, case studies and training materials, and to give such other publicity to the existence of this Agreement as Chase Parties may from time to time determine in their sole discretion in compliance with their confidentiality obligations hereunder. The foregoing authorization shall remain in effect unless the Borrower Representative notifies Chase in writing that such authorization is revoked. 126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07"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SECTION 9.20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9.21 Acknowledgement Regarding Any Supported QFCs. (a)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(b)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127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08"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parties with respect to a Defaulting Lender shall in no event affect the rights of any Covered Party with respect to a Supported QFC or any QFC Credit Support. SECTION 9.22 Joint and Several. Each Borrower hereby unconditionally and irrevocably agrees it is jointly and severally liable to the Administrative Agent, the Issuing Banks and the Lenders for the Secured Obligations. In furtherance thereof, each Borrower agrees that wherever in this Agreement it is provided that a Borrower is liable for a payment, such obligation is the joint and several obligation of each Borrower. Each Borrower acknowledges and agrees that its joint and several liability under this Agreement and the Loan Documents is absolute and unconditional and shall not in any manner be affected or impaired by any acts or omissions whatsoever by the Administrative Agent, any Issuing Bank, any Lender or any other Person. Each Borrower's liability for the Secured Obligations shall not in any manner be impaired or affected by who receives or uses the proceeds of the credit extended hereunder or for what purposes such proceeds are used, and each Borrower waives notice of borrowing requests issued by, and loans or other extensions of credit made to, other Borrowers. Each Borrower hereby agrees not to exercise or enforce any right of exoneration, contribution, reimbursement, recourse or subrogation available to such Borrower against any party liable for payment under this Agreement and the other Loan Documents unless and until the Administrative Agent, each Issuing Bank and each Lender has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shall, to the fullest extent permitted by applicable law, be the unconditional liability of such Borrower irrespective of (i) the validity, enforceability, avoidance or subordination of any of the Secured Obligations or of any other document evidencing all or any part of the Secured Obligations, (ii) the absence of any attempt to collect any of the Secured Obligations from any other Loan Party or any Collateral or other security therefor, or the absence of any other action to enforce the same, (iii) the amendment, modification, waiver, consent, extension, forbearance or granting of any indulgence by the Administrative Agent or any Lender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or any Lender to take any steps to perfect or maintain the perfected status of its Lien upon, or to preserve its rights to, any of the Collateral or other security for the payment or performance of any of the Secured Obligations or the Administrative Agent’s release of any Collateral or of its Liens upon any Collateral, (v) the release or compromise, in whole or in part, of the liability of any other Loan Party for the payment of any of the Secured Obligations, (vi) any increase in the amount of the Secured Obligations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without first proceeding against any other Loan Party or against any Collateral or other security for the payment or performance of any of the Secured Obligations, and each Borrower waives any provision that might otherwise require the Administrative Agent or the Lenders under applicable law to pursue or exhaust its remedies against any Collateral or other Loan Party before pursuing such Borrower or its property. Each Borrower consents and agrees that neither the Administrative Agent nor any Lender shall be under no obligation to marshal any assets in favor of any Loan Party or against or in payment of any or all of the Secured Obligations. 128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09"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ARTICLE X LOAN GUARANTY SECTION 10.01 Guaranty.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reasonable attorneys’ and paralegals’ fees (including allocated costs of in-house counsel and paralegals) and expenses paid or incurred by the Administrative Agent, the Issuing Banks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“Guaranteed Obligations”); provided, however,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 SECTION 10.02 Guaranty of Payment. This Loan Guaranty is a guaranty of payment and not of collection. Each Loan Guarantor waives any right to require the Administrative Agent, any Issuing Bank or any Lender to sue any Borrower, any Loan Guarantor, or any other guarantor of, or any other Person obligated for all or any part of the Guaranteed Obligations (each, an “Obligated Party”), or otherwise to enforce its payment against any collateral securing all or any part of the Guaranteed Obligations. SECTION 10.03 No Discharge or Diminishment of Loan Guaranty. (a) 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 (b)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 (c) 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129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10"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 SECTION 10.04 Defenses Waived.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 SECTION 10.05 Rights of Subrogation.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 SECTION 10.06 Reinstatement; Stay of Acceleration.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 SECTION 10.07 Information. Each Loan Guarantor assumes all responsibility for being and keeping itself informed of the Borrowers’ financial condition and assets, and of all other circumstances 130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1"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bearing upon the risk of nonpayment of the Guaranteed Obligations and the nature, scope and extent of the risks that each Loan Guarantor assumes and incurs under this Loan Guaranty, and agrees that none of the Administrative Agent, any Issuing Bank or any Lender shall have any duty to advise any Loan Guarantor of information known to it regarding those circumstances or risks. SECTION 10.08 Termination. Each of the Lenders and the Issuing Banks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as a result of any such notice of termination. SECTION 10.09 Taxes.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 SECTION 10.10 Maximum Liability.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 SECTION 10.11 Contribution. (a) To the extent that any Loan Guarantor shall make a payment under this Loan Guaranty (a “Guarantor Payment”)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 131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12"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 (c) 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 (d) The parties hereto acknowledge that the rights of contribution and indemnification hereunder shall constitute assets of the Loan Guarantor or Loan Guarantors to which such contribution and indemnification is owing. (e) The rights of the indemnifying Loan Guarantors against other Loan Guarantors under this Section 10.11 shall be exercisable upon the Payment in Full of the Guaranteed Obligations and the termination of this Agreement. SECTION 10.12 Liability Cumulative. The liability of each Loan Party as a Loan Guarantor under this Article X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 SECTION 10.13 Keepwell.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 ARTICLE XI THE BORROWER REPRESENTATIVE SECTION 11.01 Appointment; Nature of Relationship. Holdings is hereby appointed by each of the Loan Parties as its contractual representative (herein referred to as the “Borrower Representative”) hereunder and under each other Loan Document, and each of the Loan Parties irrevocably authorizes the Borrower Representative to act as the contractual representative of such Loan Party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132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13"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the proceeds of the Loans in the Funding Account(s), at which time the Borrower Representative shall promptly disburse such Loans to the appropriate Borrower(s), provided that, in the case of a Revolving Loan, such amount shall not exceed Revolving Loan Availability. The Administrative Agent and the Lenders, and their respective officers, directors, agents or employees, shall not be liable to the Borrower Representative or any Loan Party for any action taken or omitted to be taken by the Borrower Representative or the Loan Parties pursuant to this Section 11.01. SECTION 11.02 Powers.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Loan Parties, or any obligation to the Administrative Agent or the Lenders to take any action thereunder except any action specifically provided by the Loan Documents to be taken by the Borrower Representative. SECTION 11.03 Employment of Agents. The Borrower Representative may execute any of its duties as the Borrower Representative hereunder and under any other Loan Document by or through authorized officers. SECTION 11.04 Notices. Each Loan Party shall immediately notify the Borrower Representative of the occurrence of any Default or Event of Default hereunder, refer to this Agreement, describe such Default or Event of Default, and state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Loan Party on the date received by the Borrower Representative. SECTION 11.05 Successor Borrower Representative.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 SECTION 11.06 Execution of Loan Documents. The Loan Parties hereby empower and authorize the Borrower Representative, on behalf of the Loan Parties, to execute and deliver to the Administrative Agent and the Lenders the Loan Documents and all related agreements, certificates, documents, or instruments as shall be necessary or appropriate to effect the purposes of the Loan Documents, including, without limitation, the Compliance Certificates. Each Loan Party agrees that any action taken by the Borrower Representative or the Loan Parties in accordance with the terms of this Agreement or the other Loan Documents, and the exercise by the Borrower Representative of its powers set forth therein or herein, together with such other powers that are reasonably incidental thereto, shall be binding upon all of the Loan Parties. SECTION 11.07 Reporting. Each Loan Party hereby agrees that such Loan Party shall furnish promptly after each fiscal month to the Borrower Representative any certificate or report required hereunder or requested by the Borrower Representative on which the Borrower Representative shall rely to prepare the Compliance Certificates required pursuant to the provisions of this Agreement. SECTION 11.08 Amendment and Restatement. The parties hereto agree that, on the Effective Date, the following transactions shall be deemed to occur automatically, without further action by any party hereto: 133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14"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 The Existing Credit Agreement shall be deemed to be amended and restated in its entirety in the form of and pursuant to this Agreement and the terms of this Agreement shall replace and supersede the Existing Credit Agreement (which shall hereafter have no further effect upon the parties thereto other than with respect to any action, event, representation, warranty or covenant occurring, made or applying prior to the Effective Date). (b) All “Loans” outstanding under the Existing Credit Agreement shall be deemed to be Loans under this Agreement. All other “Obligations” existing under the Existing Credit Agreement shall be deemed to be outstanding under this Agreement and, in each case (i) are in all respects enforceable with only the terms thereof being modified as provided by this Agreement and (ii) shall in all respects be continuing after the Effective Date and shall be deemed to be Obligations governed by this Agreement. On the Effective Date, each Lender under the Existing Credit Agreement that has a “Revolving Commitment” under the Existing Credit Agreement shall sell, assign and transfer, or purchase and assume, as the case may be, and receive payments from, or shall make payments to, the Administrative Agent such that after giving effect to all such assignments and purchases the Revolving Commitments will be held by the Lenders hereunder and each such Lender shall have funded its portion of its Commitment on the Effective Date. On the Effective Date, all outstanding “Revolving Commitments,” “Loans” and other outstanding advances under the Existing Credit Agreement shall be reallocated among the Lenders (including any newly added Lenders) under this Agreement in accordance with such Lenders’ respective revised Applicable Percentages. The assignments and purchases provided for in this Section 11.08(b) shall be without recourse, warranty or representation. The purchase price for each such assignment and purchase shall equal the principal amount of the Loan purchased and shall be payable to Administrative Agent for distribution to the Lenders. (c) On and after the Effective Date, all references to the Existing Credit Agreement or the “Credit Agreement” in the “Loan Documents” (as defined in the Existing Credit Agreement) executed in connection with the Existing Credit Agreement, whether on the Original Effective Date or at any time thereafter but prior to the Effective Date, shall be deemed to include references to this Agreement, as amended, restated, supplemented or otherwise modified from time to time. (d) Each party to this Agreement acknowledges and agrees that this Agreement and the documents executed and delivered in connection herewith do not constitute a novation, payment or reborrowing or termination of any of the Obligations under the Existing Credit Agreement as in effect prior to the Effective Date or a novation or payment and reborrowing of any amount owing under the Existing Credit Agreement as in effect prior to the Effective Date. [Signature Page Follows] 134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15"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$20,000,000 $20,192,310 Revolving Commitment $67,307,690 $0 Bank of America, N.A. Rabobank, N.A. Swingline Commitment $15,000,000 $38,076,920 $50,000,000 $0 $126,923,080 Santander Bank, N.A. $0 $9,230,770 Lender $30,769,230 $0 JPMorgan Chase Bank, N.A. PNC Bank, National Association U.S. Bank, National Association $9,230,770 $20,192,310 $30,769,230 $38,076,920 $0 $67,307,690 Term Commitment Total $0 $150,000,000 $126,923,080 $500,000,000 $20,000,000 COMMITMENT SCHEDULE Wells Fargo Bank, N.A.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16"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NUSCGS055668 NUSCGS055018 11/22/202 5 2/10/2026 PALMETTO WARNER ROBINS-WATSON BLVD, 2/19/2026 $500,000.0 0 PALMETTO MUNCIE-E MCGALLIARD ROAD Maturity Date JPMorgan Chase Bank, N.A. $550,000.0 0 Dutch Bros., LLC PALMETTO DAYTON-NORTH DIXIE DRIVE, NUSCGS054991 11/18/202 5 CITY OF ARVADA, COLORADO JPMorgan Chase Bank, N.A. $254,489.0 0 $165,000.0 0 Dutch Bros., LLC JPMorgan Chase Bank, N.A. Beneficiary Name Dutch Bros., LLC NUSCGS055334 NUSCGS054678 10/17/202 5 1/31/2026 PALMETTO LOUISVILLE-TAYL ORSVILLE Issuing Bank $600,000.0 0 PALMETTO COLLIERVILLE-WE ST POPLAR JPMorgan Chase Bank, N.A. JPMorgan Chase Bank, N.A. $600,000.0 0 Dutch Bros., LLC Amount NUSCGS054346 9/25/2025 Dutch Bros., LLC PALMETTO MURFREESBORO-F RANKLIN ROAD JPMorgan Chase Bank, N.A. $600,000.0 0 Dutch Bros., LLC JPMorgan Chase Bank, N.A. NUSCGS055828 Dutch Bros., LLC NUSCGS055292 NUSCGS054060 9/1/2025 10/29/202 5 H-E-B, LP 2/19/2026 $191,538.7 2 CVP-GOLDEN AIRPORT DB, LLC Booking Party Name JPMorgan Chase Bank, N.A. $550,000.0 0 Dutch Bros., LLC PALMETTO PADUCAH-HINKLE VILLE ROAD, NUSCGS053592 8/1/2025 JPMorgan Chase Bank, N.A. DB Argyle Forest Blvd, LLC JPMorgan Chase Bank, N.A. $600,000.0 0 $390,000.0 0 Dutch Bros., LLC JPMorgan Chase Bank, N.A. SCHEDULE 2.06 EXISTING LETTERS OF CREDIT Dutch Bros., LLC NUSCGS055019 NUSCGS053483 8/1/2025 11/22/202 5 PALMETTO PRATTVILLE-MAIN STREET, Dutch Bros., LLC $550,000.0 0 PALMETTO NORTH PORT-US 41, LLC, JPMorgan Chase Bank, N.A. JPMorgan Chase Bank, $545,000.0 0 Dutch Bros., LLC Reference Number NUSCGS051533 3/1/2026 Dutch Bros., LLC CITY OF OREM JPMorgan Chase Bank, N.A. $25,959.35 NUSCGS055829 Dutch Bros., LLC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17"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NUSCGS056546 5/8/2026 PALMETTO CAPE CORAL-26TH ST, LLC JPMorgan Chase Bank, N.A. $545,000.0 0 Dutch Bros., LLC JPMorgan Chase Bank, N.A. Dutch Bros., LLC NUSCGS049678 NUSCGS056584 N.A. 5/9/2026 10/31/202 5 PALMETTO RADCLIFF-NORTH DIXIE BLVD $490,000.0 0 PALMETTO HENDERSONVILLE- INDIAN LAKE JPMorgan Chase Bank, N.A. $600,000.0 0 Dutch Bros., LLC NUSCGS056583 5/9/2026 PALMETTO LOUISVILLE-DIXIE HIGHWAY, LLC JPMorgan Chase Bank, N.A. $675,000.0 0 Dutch Bros., LLC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2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18"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Schedule 5.15 Post-Closing Obligations 1. On or prior to July 25, 2025 (or such later date as the Administrative Agent may agree to in its sole discretion), the Loan Parties shall deliver insurance endorsements complying with Section 5.10 of the Credit Agreement and Section 4.12 of the Security Agreement. 2. On or prior to July 25, 2025 (or such later date as the Administrative Agent may agree to in its sole discretion), the Loan Parties shall use commercially reasonable efforts to deliver a Collateral Access Agreement for the chief executive office of all Loan Parties located at 300 N Valley Drive, Grants Pass Oregon 97526, in accordance with Section 4.13 of the Security Agreement. </w:t>
      </w:r>
    </w:p>
    <w:p>
      <w:pPr>
        <w:pStyle w:val="HorizontalLine"/>
        <w:pBdr>
          <w:bottom w:val="single" w:sz="12" w:space="0" w:color="808080"/>
        </w:pBdr>
        <w:bidi w:val="0"/>
        <w:jc w:val="center"/>
      </w:pPr>
      <w:r/>
    </w:p>
    <w:p>
      <w:pPr>
        <w:pStyle w:val="TextBody"/>
        <w:bidi w:val="0"/>
        <w:jc w:val="center"/>
      </w:pPr>
      <w: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31.1</w: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 AS AMENDED,</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p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Christine Barone, certify that: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of Dutch Bros Inc. for the period ended September 30, 2026;</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pPr>
      <w:r/>
    </w:p>
    <w:tbl>
      <w:tblPr>
        <w:tblW w:w="5799"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1004"/>
        <w:gridCol w:w="1004"/>
        <w:gridCol w:w="1427"/>
      </w:tblGrid>
      <w:t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3220"/>
                <wp:effectExtent l="0" t="0" r="0" b="0"/>
                <wp:wrapNone/>
                <wp:docPr id="329" name="Frame5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33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19" descr=""/>
                                          <pic:cNvPicPr>
                                            <a:picLocks noChangeAspect="1" noChangeArrowheads="1"/>
                                          </pic:cNvPicPr>
                                        </pic:nvPicPr>
                                        <pic:blipFill>
                                          <a:blip r:embed="rId2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331"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19" descr=""/>
                                    <pic:cNvPicPr>
                                      <a:picLocks noChangeAspect="1" noChangeArrowheads="1"/>
                                    </pic:cNvPicPr>
                                  </pic:nvPicPr>
                                  <pic:blipFill>
                                    <a:blip r:embed="rId2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 AS AMENDED,</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p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 Joshua Guenser, certify that:</w:t>
      </w:r>
    </w:p>
    <w:p>
      <w:pPr>
        <w:pStyle w:val="TextBody"/>
        <w:bidi w:val="0"/>
        <w:spacing w:before="0" w:after="0"/>
        <w:jc w:val="both"/>
      </w:pPr>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of Dutch Bros Inc. for the period ended September 30, 2026;</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131E29"/>
        </w:rPr>
        <w:t xml:space="preserve"> </w:t>
      </w:r>
      <w:r>
        <w:rPr>
          <w:rFonts w:ascii="Arial;sans-serif" w:hAnsi="Arial;sans-serif"/>
          <w:b w:val="false"/>
          <w:color w:val="131E29"/>
          <w:sz w:val="20"/>
        </w:rPr>
        <w:t>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pPr>
      <w:r/>
    </w:p>
    <w:tbl>
      <w:tblPr>
        <w:tblW w:w="4869"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732"/>
        <w:gridCol w:w="732"/>
        <w:gridCol w:w="1041"/>
      </w:tblGrid>
      <w:t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32.1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3220"/>
                <wp:effectExtent l="0" t="0" r="0" b="0"/>
                <wp:wrapNone/>
                <wp:docPr id="332" name="Frame5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33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20" descr=""/>
                                          <pic:cNvPicPr>
                                            <a:picLocks noChangeAspect="1" noChangeArrowheads="1"/>
                                          </pic:cNvPicPr>
                                        </pic:nvPicPr>
                                        <pic:blipFill>
                                          <a:blip r:embed="rId2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33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20" descr=""/>
                                    <pic:cNvPicPr>
                                      <a:picLocks noChangeAspect="1" noChangeArrowheads="1"/>
                                    </pic:cNvPicPr>
                                  </pic:nvPicPr>
                                  <pic:blipFill>
                                    <a:blip r:embed="rId2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p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Quarterly Report of Dutch Bros Inc. (the Company) on Form 10-Q for the period ended September 30, 2026,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pStyle w:val="TextBody"/>
        <w:bidi w:val="0"/>
        <w:spacing w:before="0" w:after="0"/>
        <w:jc w:val="left"/>
      </w:pPr>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bidi w:val="0"/>
        <w:spacing w:before="0" w:after="0"/>
        <w:jc w:val="both"/>
      </w:pPr>
      <w:r/>
    </w:p>
    <w:p>
      <w:pPr>
        <w:pStyle w:val="TextBody"/>
        <w:bidi w:val="0"/>
        <w:spacing w:before="0" w:after="0"/>
        <w:jc w:val="left"/>
      </w:pPr>
      <w:r/>
    </w:p>
    <w:tbl>
      <w:tblPr>
        <w:tblW w:w="5799"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109"/>
        <w:gridCol w:w="109"/>
        <w:gridCol w:w="109"/>
        <w:gridCol w:w="1004"/>
        <w:gridCol w:w="1004"/>
        <w:gridCol w:w="1427"/>
      </w:tblGrid>
      <w:t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0"/>
        <w:jc w:val="left"/>
      </w:p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3220"/>
                <wp:effectExtent l="0" t="0" r="0" b="0"/>
                <wp:wrapNone/>
                <wp:docPr id="335" name="Frame5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pPr>
                            <w:r>
                              <w:drawing>
                                <wp:inline distT="0" distB="0" distL="0" distR="0">
                                  <wp:extent cx="190500" cy="266700"/>
                                  <wp:effectExtent l="0" t="0" r="0" b="0"/>
                                  <wp:docPr id="336"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21" descr=""/>
                                          <pic:cNvPicPr>
                                            <a:picLocks noChangeAspect="1" noChangeArrowheads="1"/>
                                          </pic:cNvPicPr>
                                        </pic:nvPicPr>
                                        <pic:blipFill>
                                          <a:blip r:embed="rId2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pPr>
                      <w:r>
                        <w:drawing>
                          <wp:inline distT="0" distB="0" distL="0" distR="0">
                            <wp:extent cx="190500" cy="266700"/>
                            <wp:effectExtent l="0" t="0" r="0" b="0"/>
                            <wp:docPr id="33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21" descr=""/>
                                    <pic:cNvPicPr>
                                      <a:picLocks noChangeAspect="1" noChangeArrowheads="1"/>
                                    </pic:cNvPicPr>
                                  </pic:nvPicPr>
                                  <pic:blipFill>
                                    <a:blip r:embed="rId2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3.jpeg"/><Relationship Id="rId71" Type="http://schemas.openxmlformats.org/officeDocument/2006/relationships/image" Target="media/image4.jpeg"/><Relationship Id="rId72" Type="http://schemas.openxmlformats.org/officeDocument/2006/relationships/image" Target="media/image5.jpeg"/><Relationship Id="rId73" Type="http://schemas.openxmlformats.org/officeDocument/2006/relationships/image" Target="media/image6.jpeg"/><Relationship Id="rId74" Type="http://schemas.openxmlformats.org/officeDocument/2006/relationships/image" Target="media/image7.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hyperlink" Target="https://www.sec.gov/Archives/edgar/data/0001866581/000162828021018861/exhibit31-8xk.htm" TargetMode="External"/><Relationship Id="rId114" Type="http://schemas.openxmlformats.org/officeDocument/2006/relationships/hyperlink" Target="https://www.sec.gov/Archives/edgar/data/1866581/000162828021017441/exhibit34-sx1.htm" TargetMode="External"/><Relationship Id="rId115" Type="http://schemas.openxmlformats.org/officeDocument/2006/relationships/hyperlink" Target="https://www.sec.gov/Archives/edgar/data/0001866581/000162828021018116/exhibit41.htm" TargetMode="External"/><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8.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9.jpeg"/><Relationship Id="rId122" Type="http://schemas.openxmlformats.org/officeDocument/2006/relationships/image" Target="media/image10.jpeg"/><Relationship Id="rId123" Type="http://schemas.openxmlformats.org/officeDocument/2006/relationships/image" Target="media/image11.jpeg"/><Relationship Id="rId124" Type="http://schemas.openxmlformats.org/officeDocument/2006/relationships/image" Target="media/image12.jpeg"/><Relationship Id="rId125" Type="http://schemas.openxmlformats.org/officeDocument/2006/relationships/image" Target="media/image13.jpeg"/><Relationship Id="rId126" Type="http://schemas.openxmlformats.org/officeDocument/2006/relationships/image" Target="media/image14.jpeg"/><Relationship Id="rId127" Type="http://schemas.openxmlformats.org/officeDocument/2006/relationships/image" Target="media/image15.jpeg"/><Relationship Id="rId128" Type="http://schemas.openxmlformats.org/officeDocument/2006/relationships/image" Target="media/image16.jpeg"/><Relationship Id="rId129" Type="http://schemas.openxmlformats.org/officeDocument/2006/relationships/image" Target="media/image17.jpeg"/><Relationship Id="rId130" Type="http://schemas.openxmlformats.org/officeDocument/2006/relationships/image" Target="media/image18.jpeg"/><Relationship Id="rId131" Type="http://schemas.openxmlformats.org/officeDocument/2006/relationships/image" Target="media/image19.jpeg"/><Relationship Id="rId132" Type="http://schemas.openxmlformats.org/officeDocument/2006/relationships/image" Target="media/image20.jpeg"/><Relationship Id="rId133" Type="http://schemas.openxmlformats.org/officeDocument/2006/relationships/image" Target="media/image21.jpeg"/><Relationship Id="rId134" Type="http://schemas.openxmlformats.org/officeDocument/2006/relationships/image" Target="media/image22.jpeg"/><Relationship Id="rId135" Type="http://schemas.openxmlformats.org/officeDocument/2006/relationships/image" Target="media/image23.jpeg"/><Relationship Id="rId136" Type="http://schemas.openxmlformats.org/officeDocument/2006/relationships/image" Target="media/image24.jpeg"/><Relationship Id="rId137" Type="http://schemas.openxmlformats.org/officeDocument/2006/relationships/image" Target="media/image25.jpeg"/><Relationship Id="rId138" Type="http://schemas.openxmlformats.org/officeDocument/2006/relationships/image" Target="media/image26.jpeg"/><Relationship Id="rId139" Type="http://schemas.openxmlformats.org/officeDocument/2006/relationships/image" Target="media/image27.jpeg"/><Relationship Id="rId140" Type="http://schemas.openxmlformats.org/officeDocument/2006/relationships/image" Target="media/image28.jpeg"/><Relationship Id="rId141" Type="http://schemas.openxmlformats.org/officeDocument/2006/relationships/image" Target="media/image29.jpeg"/><Relationship Id="rId142" Type="http://schemas.openxmlformats.org/officeDocument/2006/relationships/image" Target="media/image30.jpeg"/><Relationship Id="rId143" Type="http://schemas.openxmlformats.org/officeDocument/2006/relationships/image" Target="media/image31.jpeg"/><Relationship Id="rId144" Type="http://schemas.openxmlformats.org/officeDocument/2006/relationships/image" Target="media/image32.jpeg"/><Relationship Id="rId145" Type="http://schemas.openxmlformats.org/officeDocument/2006/relationships/image" Target="media/image33.jpeg"/><Relationship Id="rId146" Type="http://schemas.openxmlformats.org/officeDocument/2006/relationships/image" Target="media/image34.jpeg"/><Relationship Id="rId147" Type="http://schemas.openxmlformats.org/officeDocument/2006/relationships/image" Target="media/image35.jpeg"/><Relationship Id="rId148" Type="http://schemas.openxmlformats.org/officeDocument/2006/relationships/image" Target="media/image36.jpeg"/><Relationship Id="rId149" Type="http://schemas.openxmlformats.org/officeDocument/2006/relationships/image" Target="media/image37.jpeg"/><Relationship Id="rId150" Type="http://schemas.openxmlformats.org/officeDocument/2006/relationships/image" Target="media/image38.jpeg"/><Relationship Id="rId151" Type="http://schemas.openxmlformats.org/officeDocument/2006/relationships/image" Target="media/image39.jpeg"/><Relationship Id="rId152" Type="http://schemas.openxmlformats.org/officeDocument/2006/relationships/image" Target="media/image40.jpeg"/><Relationship Id="rId153" Type="http://schemas.openxmlformats.org/officeDocument/2006/relationships/image" Target="media/image41.jpeg"/><Relationship Id="rId154" Type="http://schemas.openxmlformats.org/officeDocument/2006/relationships/image" Target="media/image42.jpeg"/><Relationship Id="rId155" Type="http://schemas.openxmlformats.org/officeDocument/2006/relationships/image" Target="media/image43.jpeg"/><Relationship Id="rId156" Type="http://schemas.openxmlformats.org/officeDocument/2006/relationships/image" Target="media/image44.jpeg"/><Relationship Id="rId157" Type="http://schemas.openxmlformats.org/officeDocument/2006/relationships/image" Target="media/image45.jpeg"/><Relationship Id="rId158" Type="http://schemas.openxmlformats.org/officeDocument/2006/relationships/image" Target="media/image46.jpeg"/><Relationship Id="rId159" Type="http://schemas.openxmlformats.org/officeDocument/2006/relationships/image" Target="media/image47.jpeg"/><Relationship Id="rId160" Type="http://schemas.openxmlformats.org/officeDocument/2006/relationships/image" Target="media/image48.jpeg"/><Relationship Id="rId161" Type="http://schemas.openxmlformats.org/officeDocument/2006/relationships/image" Target="media/image49.jpeg"/><Relationship Id="rId162" Type="http://schemas.openxmlformats.org/officeDocument/2006/relationships/image" Target="media/image50.jpeg"/><Relationship Id="rId163" Type="http://schemas.openxmlformats.org/officeDocument/2006/relationships/image" Target="media/image51.jpeg"/><Relationship Id="rId164" Type="http://schemas.openxmlformats.org/officeDocument/2006/relationships/image" Target="media/image52.jpeg"/><Relationship Id="rId165" Type="http://schemas.openxmlformats.org/officeDocument/2006/relationships/image" Target="media/image53.jpeg"/><Relationship Id="rId166" Type="http://schemas.openxmlformats.org/officeDocument/2006/relationships/image" Target="media/image54.jpeg"/><Relationship Id="rId167" Type="http://schemas.openxmlformats.org/officeDocument/2006/relationships/image" Target="media/image55.jpeg"/><Relationship Id="rId168" Type="http://schemas.openxmlformats.org/officeDocument/2006/relationships/image" Target="media/image56.jpeg"/><Relationship Id="rId169" Type="http://schemas.openxmlformats.org/officeDocument/2006/relationships/image" Target="media/image57.jpeg"/><Relationship Id="rId170" Type="http://schemas.openxmlformats.org/officeDocument/2006/relationships/image" Target="media/image58.jpeg"/><Relationship Id="rId171" Type="http://schemas.openxmlformats.org/officeDocument/2006/relationships/image" Target="media/image59.jpeg"/><Relationship Id="rId172" Type="http://schemas.openxmlformats.org/officeDocument/2006/relationships/image" Target="media/image60.jpeg"/><Relationship Id="rId173" Type="http://schemas.openxmlformats.org/officeDocument/2006/relationships/image" Target="media/image61.jpeg"/><Relationship Id="rId174" Type="http://schemas.openxmlformats.org/officeDocument/2006/relationships/image" Target="media/image62.jpeg"/><Relationship Id="rId175" Type="http://schemas.openxmlformats.org/officeDocument/2006/relationships/image" Target="media/image63.jpeg"/><Relationship Id="rId176" Type="http://schemas.openxmlformats.org/officeDocument/2006/relationships/image" Target="media/image64.jpeg"/><Relationship Id="rId177" Type="http://schemas.openxmlformats.org/officeDocument/2006/relationships/image" Target="media/image65.jpeg"/><Relationship Id="rId178" Type="http://schemas.openxmlformats.org/officeDocument/2006/relationships/image" Target="media/image66.jpeg"/><Relationship Id="rId179" Type="http://schemas.openxmlformats.org/officeDocument/2006/relationships/image" Target="media/image67.jpeg"/><Relationship Id="rId180" Type="http://schemas.openxmlformats.org/officeDocument/2006/relationships/image" Target="media/image68.jpeg"/><Relationship Id="rId181" Type="http://schemas.openxmlformats.org/officeDocument/2006/relationships/image" Target="media/image69.jpeg"/><Relationship Id="rId182" Type="http://schemas.openxmlformats.org/officeDocument/2006/relationships/image" Target="media/image70.jpeg"/><Relationship Id="rId183" Type="http://schemas.openxmlformats.org/officeDocument/2006/relationships/image" Target="media/image71.jpeg"/><Relationship Id="rId184" Type="http://schemas.openxmlformats.org/officeDocument/2006/relationships/image" Target="media/image72.jpeg"/><Relationship Id="rId185" Type="http://schemas.openxmlformats.org/officeDocument/2006/relationships/image" Target="media/image73.jpeg"/><Relationship Id="rId186" Type="http://schemas.openxmlformats.org/officeDocument/2006/relationships/image" Target="media/image74.jpeg"/><Relationship Id="rId187" Type="http://schemas.openxmlformats.org/officeDocument/2006/relationships/image" Target="media/image75.jpeg"/><Relationship Id="rId188" Type="http://schemas.openxmlformats.org/officeDocument/2006/relationships/image" Target="media/image76.jpeg"/><Relationship Id="rId189" Type="http://schemas.openxmlformats.org/officeDocument/2006/relationships/image" Target="media/image77.jpeg"/><Relationship Id="rId190" Type="http://schemas.openxmlformats.org/officeDocument/2006/relationships/image" Target="media/image78.jpeg"/><Relationship Id="rId191" Type="http://schemas.openxmlformats.org/officeDocument/2006/relationships/image" Target="media/image79.jpeg"/><Relationship Id="rId192" Type="http://schemas.openxmlformats.org/officeDocument/2006/relationships/image" Target="media/image80.jpeg"/><Relationship Id="rId193" Type="http://schemas.openxmlformats.org/officeDocument/2006/relationships/image" Target="media/image81.jpeg"/><Relationship Id="rId194" Type="http://schemas.openxmlformats.org/officeDocument/2006/relationships/image" Target="media/image82.jpeg"/><Relationship Id="rId195" Type="http://schemas.openxmlformats.org/officeDocument/2006/relationships/image" Target="media/image83.jpeg"/><Relationship Id="rId196" Type="http://schemas.openxmlformats.org/officeDocument/2006/relationships/image" Target="media/image84.jpeg"/><Relationship Id="rId197" Type="http://schemas.openxmlformats.org/officeDocument/2006/relationships/image" Target="media/image85.jpeg"/><Relationship Id="rId198" Type="http://schemas.openxmlformats.org/officeDocument/2006/relationships/image" Target="media/image86.jpeg"/><Relationship Id="rId199" Type="http://schemas.openxmlformats.org/officeDocument/2006/relationships/image" Target="media/image87.jpeg"/><Relationship Id="rId200" Type="http://schemas.openxmlformats.org/officeDocument/2006/relationships/image" Target="media/image88.jpeg"/><Relationship Id="rId201" Type="http://schemas.openxmlformats.org/officeDocument/2006/relationships/image" Target="media/image89.jpeg"/><Relationship Id="rId202" Type="http://schemas.openxmlformats.org/officeDocument/2006/relationships/image" Target="media/image90.jpeg"/><Relationship Id="rId203" Type="http://schemas.openxmlformats.org/officeDocument/2006/relationships/image" Target="media/image91.jpeg"/><Relationship Id="rId204" Type="http://schemas.openxmlformats.org/officeDocument/2006/relationships/image" Target="media/image92.jpeg"/><Relationship Id="rId205" Type="http://schemas.openxmlformats.org/officeDocument/2006/relationships/image" Target="media/image93.jpeg"/><Relationship Id="rId206" Type="http://schemas.openxmlformats.org/officeDocument/2006/relationships/image" Target="media/image94.jpeg"/><Relationship Id="rId207" Type="http://schemas.openxmlformats.org/officeDocument/2006/relationships/image" Target="media/image95.jpeg"/><Relationship Id="rId208" Type="http://schemas.openxmlformats.org/officeDocument/2006/relationships/image" Target="media/image96.jpeg"/><Relationship Id="rId209" Type="http://schemas.openxmlformats.org/officeDocument/2006/relationships/image" Target="media/image97.jpeg"/><Relationship Id="rId210" Type="http://schemas.openxmlformats.org/officeDocument/2006/relationships/image" Target="media/image98.jpeg"/><Relationship Id="rId211" Type="http://schemas.openxmlformats.org/officeDocument/2006/relationships/image" Target="media/image99.jpeg"/><Relationship Id="rId212" Type="http://schemas.openxmlformats.org/officeDocument/2006/relationships/image" Target="media/image100.jpeg"/><Relationship Id="rId213" Type="http://schemas.openxmlformats.org/officeDocument/2006/relationships/image" Target="media/image101.jpeg"/><Relationship Id="rId214" Type="http://schemas.openxmlformats.org/officeDocument/2006/relationships/image" Target="media/image102.jpeg"/><Relationship Id="rId215" Type="http://schemas.openxmlformats.org/officeDocument/2006/relationships/image" Target="media/image103.jpeg"/><Relationship Id="rId216" Type="http://schemas.openxmlformats.org/officeDocument/2006/relationships/image" Target="media/image104.jpeg"/><Relationship Id="rId217" Type="http://schemas.openxmlformats.org/officeDocument/2006/relationships/image" Target="media/image105.jpeg"/><Relationship Id="rId218" Type="http://schemas.openxmlformats.org/officeDocument/2006/relationships/image" Target="media/image106.jpeg"/><Relationship Id="rId219" Type="http://schemas.openxmlformats.org/officeDocument/2006/relationships/image" Target="media/image107.jpeg"/><Relationship Id="rId220" Type="http://schemas.openxmlformats.org/officeDocument/2006/relationships/image" Target="media/image108.jpeg"/><Relationship Id="rId221" Type="http://schemas.openxmlformats.org/officeDocument/2006/relationships/image" Target="media/image109.jpeg"/><Relationship Id="rId222" Type="http://schemas.openxmlformats.org/officeDocument/2006/relationships/image" Target="media/image110.jpeg"/><Relationship Id="rId223" Type="http://schemas.openxmlformats.org/officeDocument/2006/relationships/image" Target="media/image111.jpeg"/><Relationship Id="rId224" Type="http://schemas.openxmlformats.org/officeDocument/2006/relationships/image" Target="media/image112.jpeg"/><Relationship Id="rId225" Type="http://schemas.openxmlformats.org/officeDocument/2006/relationships/image" Target="media/image113.jpeg"/><Relationship Id="rId226" Type="http://schemas.openxmlformats.org/officeDocument/2006/relationships/image" Target="media/image114.jpeg"/><Relationship Id="rId227" Type="http://schemas.openxmlformats.org/officeDocument/2006/relationships/image" Target="media/image115.jpeg"/><Relationship Id="rId228" Type="http://schemas.openxmlformats.org/officeDocument/2006/relationships/image" Target="media/image116.jpeg"/><Relationship Id="rId229" Type="http://schemas.openxmlformats.org/officeDocument/2006/relationships/image" Target="media/image117.jpeg"/><Relationship Id="rId230" Type="http://schemas.openxmlformats.org/officeDocument/2006/relationships/image" Target="media/image118.jpeg"/><Relationship Id="rId231" Type="http://schemas.openxmlformats.org/officeDocument/2006/relationships/image" Target="media/image119.jpeg"/><Relationship Id="rId232" Type="http://schemas.openxmlformats.org/officeDocument/2006/relationships/image" Target="media/image120.jpeg"/><Relationship Id="rId233" Type="http://schemas.openxmlformats.org/officeDocument/2006/relationships/image" Target="media/image121.jpeg"/><Relationship Id="rId234" Type="http://schemas.openxmlformats.org/officeDocument/2006/relationships/image" Target="media/image122.jpeg"/><Relationship Id="rId235" Type="http://schemas.openxmlformats.org/officeDocument/2006/relationships/image" Target="media/image123.jpeg"/><Relationship Id="rId236" Type="http://schemas.openxmlformats.org/officeDocument/2006/relationships/image" Target="media/image124.jpeg"/><Relationship Id="rId237" Type="http://schemas.openxmlformats.org/officeDocument/2006/relationships/image" Target="media/image125.jpeg"/><Relationship Id="rId238" Type="http://schemas.openxmlformats.org/officeDocument/2006/relationships/image" Target="media/image126.jpeg"/><Relationship Id="rId239" Type="http://schemas.openxmlformats.org/officeDocument/2006/relationships/image" Target="media/image127.jpeg"/><Relationship Id="rId240" Type="http://schemas.openxmlformats.org/officeDocument/2006/relationships/image" Target="media/image128.jpeg"/><Relationship Id="rId241" Type="http://schemas.openxmlformats.org/officeDocument/2006/relationships/image" Target="media/image129.jpeg"/><Relationship Id="rId242" Type="http://schemas.openxmlformats.org/officeDocument/2006/relationships/image" Target="media/image130.jpeg"/><Relationship Id="rId243" Type="http://schemas.openxmlformats.org/officeDocument/2006/relationships/image" Target="media/image131.jpeg"/><Relationship Id="rId244" Type="http://schemas.openxmlformats.org/officeDocument/2006/relationships/image" Target="media/image132.jpeg"/><Relationship Id="rId245" Type="http://schemas.openxmlformats.org/officeDocument/2006/relationships/image" Target="media/image133.jpeg"/><Relationship Id="rId246" Type="http://schemas.openxmlformats.org/officeDocument/2006/relationships/image" Target="media/image134.jpeg"/><Relationship Id="rId247" Type="http://schemas.openxmlformats.org/officeDocument/2006/relationships/image" Target="media/image135.jpeg"/><Relationship Id="rId248" Type="http://schemas.openxmlformats.org/officeDocument/2006/relationships/image" Target="media/image136.jpeg"/><Relationship Id="rId249" Type="http://schemas.openxmlformats.org/officeDocument/2006/relationships/image" Target="media/image137.jpeg"/><Relationship Id="rId250" Type="http://schemas.openxmlformats.org/officeDocument/2006/relationships/image" Target="media/image138.jpeg"/><Relationship Id="rId251" Type="http://schemas.openxmlformats.org/officeDocument/2006/relationships/image" Target="media/image139.jpeg"/><Relationship Id="rId252" Type="http://schemas.openxmlformats.org/officeDocument/2006/relationships/image" Target="media/image140.jpeg"/><Relationship Id="rId253" Type="http://schemas.openxmlformats.org/officeDocument/2006/relationships/image" Target="media/image141.jpeg"/><Relationship Id="rId254" Type="http://schemas.openxmlformats.org/officeDocument/2006/relationships/image" Target="media/image142.jpeg"/><Relationship Id="rId255" Type="http://schemas.openxmlformats.org/officeDocument/2006/relationships/image" Target="media/image143.jpeg"/><Relationship Id="rId256" Type="http://schemas.openxmlformats.org/officeDocument/2006/relationships/image" Target="media/image144.jpeg"/><Relationship Id="rId257" Type="http://schemas.openxmlformats.org/officeDocument/2006/relationships/image" Target="media/image145.jpeg"/><Relationship Id="rId258" Type="http://schemas.openxmlformats.org/officeDocument/2006/relationships/image" Target="media/image146.jpeg"/><Relationship Id="rId259" Type="http://schemas.openxmlformats.org/officeDocument/2006/relationships/image" Target="media/image147.jpeg"/><Relationship Id="rId260" Type="http://schemas.openxmlformats.org/officeDocument/2006/relationships/image" Target="media/image148.jpeg"/><Relationship Id="rId261" Type="http://schemas.openxmlformats.org/officeDocument/2006/relationships/image" Target="media/image149.jpeg"/><Relationship Id="rId262" Type="http://schemas.openxmlformats.org/officeDocument/2006/relationships/image" Target="media/image150.jpeg"/><Relationship Id="rId263" Type="http://schemas.openxmlformats.org/officeDocument/2006/relationships/image" Target="media/image151.jpeg"/><Relationship Id="rId264" Type="http://schemas.openxmlformats.org/officeDocument/2006/relationships/image" Target="media/image152.jpeg"/><Relationship Id="rId265" Type="http://schemas.openxmlformats.org/officeDocument/2006/relationships/image" Target="media/image153.jpeg"/><Relationship Id="rId266" Type="http://schemas.openxmlformats.org/officeDocument/2006/relationships/image" Target="media/image154.jpeg"/><Relationship Id="rId267" Type="http://schemas.openxmlformats.org/officeDocument/2006/relationships/image" Target="media/image155.jpeg"/><Relationship Id="rId268" Type="http://schemas.openxmlformats.org/officeDocument/2006/relationships/image" Target="media/image156.jpeg"/><Relationship Id="rId269" Type="http://schemas.openxmlformats.org/officeDocument/2006/relationships/image" Target="media/image157.jpeg"/><Relationship Id="rId270" Type="http://schemas.openxmlformats.org/officeDocument/2006/relationships/image" Target="media/image158.jpeg"/><Relationship Id="rId271" Type="http://schemas.openxmlformats.org/officeDocument/2006/relationships/image" Target="media/image159.jpeg"/><Relationship Id="rId272" Type="http://schemas.openxmlformats.org/officeDocument/2006/relationships/image" Target="media/image160.jpeg"/><Relationship Id="rId273" Type="http://schemas.openxmlformats.org/officeDocument/2006/relationships/image" Target="media/image161.jpeg"/><Relationship Id="rId274" Type="http://schemas.openxmlformats.org/officeDocument/2006/relationships/image" Target="media/image162.jpeg"/><Relationship Id="rId275" Type="http://schemas.openxmlformats.org/officeDocument/2006/relationships/image" Target="media/image163.jpeg"/><Relationship Id="rId276" Type="http://schemas.openxmlformats.org/officeDocument/2006/relationships/image" Target="media/image164.jpeg"/><Relationship Id="rId277" Type="http://schemas.openxmlformats.org/officeDocument/2006/relationships/image" Target="media/image2.jpeg"/><Relationship Id="rId278" Type="http://schemas.openxmlformats.org/officeDocument/2006/relationships/image" Target="media/image2.jpeg"/><Relationship Id="rId279" Type="http://schemas.openxmlformats.org/officeDocument/2006/relationships/image" Target="media/image2.jpeg"/><Relationship Id="rId280" Type="http://schemas.openxmlformats.org/officeDocument/2006/relationships/image" Target="media/image2.jpeg"/><Relationship Id="rId281" Type="http://schemas.openxmlformats.org/officeDocument/2006/relationships/image" Target="media/image2.jpeg"/><Relationship Id="rId282" Type="http://schemas.openxmlformats.org/officeDocument/2006/relationships/image" Target="media/image2.jpeg"/><Relationship Id="rId283" Type="http://schemas.openxmlformats.org/officeDocument/2006/relationships/fontTable" Target="fontTable.xml"/><Relationship Id="rId2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107342</Words>
  <Characters>572582</Characters>
  <CharactersWithSpaces>678241</CharactersWithSpaces>
  <Paragraphs>4472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jpm_dutchbros-amendno1to</dc:title>
</cp:coreProperties>
</file>